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2B8" w14:textId="5CE9844F" w:rsidR="00C40E71" w:rsidRPr="002A54C4" w:rsidRDefault="00C40E71" w:rsidP="00C40E71">
      <w:pPr>
        <w:pStyle w:val="Title"/>
        <w:spacing w:line="240" w:lineRule="auto"/>
        <w:rPr>
          <w:rFonts w:ascii="Arial" w:eastAsia="Arial" w:hAnsi="Arial" w:cs="Arial"/>
          <w:b/>
          <w:sz w:val="64"/>
          <w:szCs w:val="64"/>
        </w:rPr>
      </w:pPr>
      <w:r w:rsidRPr="002A54C4">
        <w:rPr>
          <w:rFonts w:ascii="Arial" w:eastAsia="Arial" w:hAnsi="Arial" w:cs="Arial"/>
          <w:sz w:val="64"/>
          <w:szCs w:val="64"/>
        </w:rPr>
        <w:t>Research ethics</w:t>
      </w:r>
      <w:r w:rsidR="004B7A4F">
        <w:rPr>
          <w:rFonts w:ascii="Arial" w:eastAsia="Arial" w:hAnsi="Arial" w:cs="Arial"/>
          <w:sz w:val="64"/>
          <w:szCs w:val="64"/>
        </w:rPr>
        <w:t xml:space="preserve"> and</w:t>
      </w:r>
      <w:r w:rsidRPr="002A54C4">
        <w:rPr>
          <w:rFonts w:ascii="Arial" w:eastAsia="Arial" w:hAnsi="Arial" w:cs="Arial"/>
          <w:sz w:val="64"/>
          <w:szCs w:val="64"/>
        </w:rPr>
        <w:t xml:space="preserve"> principles</w:t>
      </w:r>
    </w:p>
    <w:p w14:paraId="5CECE20B" w14:textId="22B0A32E" w:rsidR="00795191" w:rsidRPr="00FB3D57" w:rsidRDefault="00795191" w:rsidP="00171C5B">
      <w:pPr>
        <w:pStyle w:val="BodyText"/>
        <w:spacing w:line="240" w:lineRule="auto"/>
        <w:rPr>
          <w:lang w:val="en"/>
        </w:rPr>
      </w:pPr>
      <w:r w:rsidRPr="00FB3D57">
        <w:rPr>
          <w:lang w:val="en"/>
        </w:rPr>
        <w:t>Th</w:t>
      </w:r>
      <w:r>
        <w:rPr>
          <w:lang w:val="en"/>
        </w:rPr>
        <w:t xml:space="preserve">is </w:t>
      </w:r>
      <w:r w:rsidRPr="00FB3D57">
        <w:rPr>
          <w:lang w:val="en"/>
        </w:rPr>
        <w:t>checklist outlines</w:t>
      </w:r>
      <w:r>
        <w:rPr>
          <w:lang w:val="en"/>
        </w:rPr>
        <w:t xml:space="preserve"> the</w:t>
      </w:r>
      <w:r w:rsidRPr="00FB3D57">
        <w:rPr>
          <w:lang w:val="en"/>
        </w:rPr>
        <w:t xml:space="preserve"> key </w:t>
      </w:r>
      <w:r>
        <w:rPr>
          <w:lang w:val="en"/>
        </w:rPr>
        <w:t xml:space="preserve">research ethics </w:t>
      </w:r>
      <w:r w:rsidRPr="00FB3D57">
        <w:rPr>
          <w:lang w:val="en"/>
        </w:rPr>
        <w:t>principles you should follow, along with questions you should ask yourself. You should be able to answer ‘yes’ to each question.</w:t>
      </w:r>
    </w:p>
    <w:tbl>
      <w:tblPr>
        <w:tblStyle w:val="NPCtable"/>
        <w:tblW w:w="9493" w:type="dxa"/>
        <w:tblLayout w:type="fixed"/>
        <w:tblLook w:val="0400" w:firstRow="0" w:lastRow="0" w:firstColumn="0" w:lastColumn="0" w:noHBand="0" w:noVBand="1"/>
      </w:tblPr>
      <w:tblGrid>
        <w:gridCol w:w="1555"/>
        <w:gridCol w:w="7938"/>
      </w:tblGrid>
      <w:tr w:rsidR="00D53FBA" w:rsidRPr="00241827" w14:paraId="275CFF57" w14:textId="77777777" w:rsidTr="004A530B">
        <w:tc>
          <w:tcPr>
            <w:tcW w:w="1555" w:type="dxa"/>
          </w:tcPr>
          <w:p w14:paraId="781ACFA7" w14:textId="77777777" w:rsidR="00D53FBA" w:rsidRPr="00241827" w:rsidRDefault="00D53FBA" w:rsidP="009C37D1">
            <w:pPr>
              <w:pStyle w:val="Heading3"/>
              <w:outlineLvl w:val="2"/>
            </w:pPr>
            <w:r w:rsidRPr="00241827">
              <w:t>Principle</w:t>
            </w:r>
          </w:p>
        </w:tc>
        <w:tc>
          <w:tcPr>
            <w:tcW w:w="7938" w:type="dxa"/>
          </w:tcPr>
          <w:p w14:paraId="379D4496" w14:textId="77777777" w:rsidR="00D53FBA" w:rsidRPr="00241827" w:rsidRDefault="00D53FBA" w:rsidP="009C37D1">
            <w:pPr>
              <w:pStyle w:val="Heading3"/>
              <w:outlineLvl w:val="2"/>
            </w:pPr>
            <w:r w:rsidRPr="00241827">
              <w:t>Key questions</w:t>
            </w:r>
          </w:p>
        </w:tc>
      </w:tr>
      <w:tr w:rsidR="00D53FBA" w:rsidRPr="00241827" w14:paraId="791CD602" w14:textId="77777777" w:rsidTr="004A530B">
        <w:tc>
          <w:tcPr>
            <w:tcW w:w="1555" w:type="dxa"/>
          </w:tcPr>
          <w:p w14:paraId="35BC8612" w14:textId="77777777" w:rsidR="00D53FBA" w:rsidRPr="009C37D1" w:rsidRDefault="00D53FBA" w:rsidP="00241827">
            <w:pPr>
              <w:pStyle w:val="TableText"/>
              <w:rPr>
                <w:b/>
                <w:bCs/>
              </w:rPr>
            </w:pPr>
            <w:r w:rsidRPr="009C37D1">
              <w:rPr>
                <w:b/>
                <w:bCs/>
              </w:rPr>
              <w:t>Voluntary participation</w:t>
            </w:r>
          </w:p>
        </w:tc>
        <w:tc>
          <w:tcPr>
            <w:tcW w:w="7938" w:type="dxa"/>
          </w:tcPr>
          <w:p w14:paraId="17CA34EE" w14:textId="1B9A9020" w:rsidR="00D53FBA" w:rsidRDefault="00D53FBA" w:rsidP="00241827">
            <w:pPr>
              <w:pStyle w:val="TableText"/>
              <w:rPr>
                <w:b/>
                <w:bCs/>
              </w:rPr>
            </w:pPr>
            <w:r w:rsidRPr="007F07ED">
              <w:rPr>
                <w:b/>
                <w:bCs/>
              </w:rPr>
              <w:t>Do users taking part in your data collection understand they do not have to participate and can leave at any time?</w:t>
            </w:r>
          </w:p>
          <w:p w14:paraId="04C4F85A" w14:textId="77777777" w:rsidR="0029470B" w:rsidRPr="0029470B" w:rsidRDefault="0029470B" w:rsidP="00241827">
            <w:pPr>
              <w:pStyle w:val="TableText"/>
              <w:rPr>
                <w:b/>
                <w:bCs/>
              </w:rPr>
            </w:pPr>
          </w:p>
          <w:p w14:paraId="435D5AD0" w14:textId="77777777" w:rsidR="00D53FBA" w:rsidRPr="00241827" w:rsidRDefault="00D53FBA" w:rsidP="00241827">
            <w:pPr>
              <w:pStyle w:val="TableText"/>
            </w:pPr>
            <w:r w:rsidRPr="00241827">
              <w:t>It is important they understand that taking part, or not, will have no bearing on how they are treated or their access to services.</w:t>
            </w:r>
          </w:p>
          <w:p w14:paraId="6F71BAEC" w14:textId="77777777" w:rsidR="00D53FBA" w:rsidRPr="00241827" w:rsidRDefault="00D53FBA" w:rsidP="00241827">
            <w:pPr>
              <w:pStyle w:val="TableText"/>
            </w:pPr>
          </w:p>
        </w:tc>
      </w:tr>
      <w:tr w:rsidR="00D53FBA" w:rsidRPr="00241827" w14:paraId="5F44DB84" w14:textId="77777777" w:rsidTr="004A530B">
        <w:tc>
          <w:tcPr>
            <w:tcW w:w="1555" w:type="dxa"/>
          </w:tcPr>
          <w:p w14:paraId="624B08AE" w14:textId="77777777" w:rsidR="00D53FBA" w:rsidRPr="009C37D1" w:rsidRDefault="00D53FBA" w:rsidP="00241827">
            <w:pPr>
              <w:pStyle w:val="TableText"/>
              <w:rPr>
                <w:b/>
                <w:bCs/>
              </w:rPr>
            </w:pPr>
            <w:r w:rsidRPr="009C37D1">
              <w:rPr>
                <w:b/>
                <w:bCs/>
              </w:rPr>
              <w:t xml:space="preserve">Informed consent </w:t>
            </w:r>
          </w:p>
        </w:tc>
        <w:tc>
          <w:tcPr>
            <w:tcW w:w="7938" w:type="dxa"/>
          </w:tcPr>
          <w:p w14:paraId="4B264EE4" w14:textId="6BA780A6" w:rsidR="00D53FBA" w:rsidRDefault="00D53FBA" w:rsidP="00241827">
            <w:pPr>
              <w:pStyle w:val="TableText"/>
              <w:rPr>
                <w:b/>
                <w:bCs/>
              </w:rPr>
            </w:pPr>
            <w:r w:rsidRPr="009C37D1">
              <w:rPr>
                <w:b/>
                <w:bCs/>
              </w:rPr>
              <w:t>Do users taking part in the data collection understand what they are getting involved with?</w:t>
            </w:r>
          </w:p>
          <w:p w14:paraId="08C32E2B" w14:textId="77777777" w:rsidR="0029470B" w:rsidRPr="0029470B" w:rsidRDefault="0029470B" w:rsidP="00241827">
            <w:pPr>
              <w:pStyle w:val="TableText"/>
              <w:rPr>
                <w:b/>
                <w:bCs/>
              </w:rPr>
            </w:pPr>
          </w:p>
          <w:p w14:paraId="17AD660F" w14:textId="77777777" w:rsidR="00D53FBA" w:rsidRPr="00241827" w:rsidRDefault="00D53FBA" w:rsidP="00241827">
            <w:pPr>
              <w:pStyle w:val="TableText"/>
            </w:pPr>
            <w:r w:rsidRPr="00241827">
              <w:t>Explain the purpose of the research and how the data will be used, before asking for their agreement to take part. Make sure they understand that they are free to stop participating at any time without needing to give a reason.</w:t>
            </w:r>
          </w:p>
          <w:p w14:paraId="72311022" w14:textId="77777777" w:rsidR="00D53FBA" w:rsidRPr="00241827" w:rsidRDefault="00D53FBA" w:rsidP="00241827">
            <w:pPr>
              <w:pStyle w:val="TableText"/>
            </w:pPr>
          </w:p>
        </w:tc>
      </w:tr>
      <w:tr w:rsidR="00D53FBA" w:rsidRPr="00241827" w14:paraId="1092C626" w14:textId="77777777" w:rsidTr="004A530B">
        <w:tc>
          <w:tcPr>
            <w:tcW w:w="1555" w:type="dxa"/>
          </w:tcPr>
          <w:p w14:paraId="6FA637D5" w14:textId="77777777" w:rsidR="00D53FBA" w:rsidRPr="00BB2BE1" w:rsidRDefault="00D53FBA" w:rsidP="00241827">
            <w:pPr>
              <w:pStyle w:val="TableText"/>
              <w:rPr>
                <w:b/>
                <w:bCs/>
              </w:rPr>
            </w:pPr>
            <w:r w:rsidRPr="00BB2BE1">
              <w:rPr>
                <w:b/>
                <w:bCs/>
              </w:rPr>
              <w:t>Do no harm</w:t>
            </w:r>
          </w:p>
        </w:tc>
        <w:tc>
          <w:tcPr>
            <w:tcW w:w="7938" w:type="dxa"/>
          </w:tcPr>
          <w:p w14:paraId="0DA69CFC" w14:textId="4BCC0791" w:rsidR="00D53FBA" w:rsidRDefault="00D53FBA" w:rsidP="00241827">
            <w:pPr>
              <w:pStyle w:val="TableText"/>
              <w:rPr>
                <w:b/>
                <w:bCs/>
              </w:rPr>
            </w:pPr>
            <w:r w:rsidRPr="00BB2BE1">
              <w:rPr>
                <w:b/>
                <w:bCs/>
              </w:rPr>
              <w:t>Do you approach sensitive topics appropriately?</w:t>
            </w:r>
          </w:p>
          <w:p w14:paraId="153979F0" w14:textId="77777777" w:rsidR="0029470B" w:rsidRPr="0029470B" w:rsidRDefault="0029470B" w:rsidP="00241827">
            <w:pPr>
              <w:pStyle w:val="TableText"/>
              <w:rPr>
                <w:b/>
                <w:bCs/>
              </w:rPr>
            </w:pPr>
          </w:p>
          <w:p w14:paraId="4BE13AA0" w14:textId="77777777" w:rsidR="00D53FBA" w:rsidRPr="00241827" w:rsidRDefault="00D53FBA" w:rsidP="00241827">
            <w:pPr>
              <w:pStyle w:val="TableText"/>
            </w:pPr>
            <w:r w:rsidRPr="00241827">
              <w:t>Going over difficult or emotional subjects can trigger episodes of re-living traumatic experiences. Only well-trained researchers should be used when the subject matter is sensitive. If sensitive issues are to be discussed, prepare in advance by making sure you have up-to-date information about sources of support and advice that you can share with participants.</w:t>
            </w:r>
          </w:p>
          <w:p w14:paraId="1A92E61E" w14:textId="77777777" w:rsidR="00D53FBA" w:rsidRPr="00241827" w:rsidRDefault="00D53FBA" w:rsidP="00241827">
            <w:pPr>
              <w:pStyle w:val="TableText"/>
            </w:pPr>
          </w:p>
        </w:tc>
      </w:tr>
      <w:tr w:rsidR="00D53FBA" w:rsidRPr="00241827" w14:paraId="703E4945" w14:textId="77777777" w:rsidTr="004A530B">
        <w:tc>
          <w:tcPr>
            <w:tcW w:w="1555" w:type="dxa"/>
          </w:tcPr>
          <w:p w14:paraId="69C84A96" w14:textId="77777777" w:rsidR="00D53FBA" w:rsidRPr="00BB2BE1" w:rsidRDefault="00D53FBA" w:rsidP="00241827">
            <w:pPr>
              <w:pStyle w:val="TableText"/>
              <w:rPr>
                <w:b/>
                <w:bCs/>
              </w:rPr>
            </w:pPr>
            <w:r w:rsidRPr="00BB2BE1">
              <w:rPr>
                <w:b/>
                <w:bCs/>
              </w:rPr>
              <w:t>Protected identity</w:t>
            </w:r>
          </w:p>
        </w:tc>
        <w:tc>
          <w:tcPr>
            <w:tcW w:w="7938" w:type="dxa"/>
          </w:tcPr>
          <w:p w14:paraId="5C6A1D16" w14:textId="1FD1283D" w:rsidR="00D53FBA" w:rsidRDefault="00D53FBA" w:rsidP="00241827">
            <w:pPr>
              <w:pStyle w:val="TableText"/>
              <w:rPr>
                <w:b/>
                <w:bCs/>
              </w:rPr>
            </w:pPr>
            <w:r w:rsidRPr="00BB2BE1">
              <w:rPr>
                <w:b/>
                <w:bCs/>
              </w:rPr>
              <w:t>Are you protecting participants' data?</w:t>
            </w:r>
          </w:p>
          <w:p w14:paraId="15682437" w14:textId="77777777" w:rsidR="0029470B" w:rsidRPr="0029470B" w:rsidRDefault="0029470B" w:rsidP="00241827">
            <w:pPr>
              <w:pStyle w:val="TableText"/>
              <w:rPr>
                <w:b/>
                <w:bCs/>
              </w:rPr>
            </w:pPr>
          </w:p>
          <w:p w14:paraId="7D939D96" w14:textId="6412D2BE" w:rsidR="00D53FBA" w:rsidRPr="00241827" w:rsidRDefault="00D53FBA" w:rsidP="00241827">
            <w:pPr>
              <w:pStyle w:val="TableText"/>
            </w:pPr>
            <w:r w:rsidRPr="00241827">
              <w:t>Nobody except the research team should have access to the data or be able to find out participants’ identities. It is often impossible to provide complete anonymity, as many methods require direct contact with the person conducting the research. Ensuring that responses are kept confidential – changing names to identification numbers, for example – can help you deal with this.</w:t>
            </w:r>
            <w:r w:rsidR="00096D19">
              <w:t xml:space="preserve"> </w:t>
            </w:r>
            <w:r w:rsidRPr="00241827">
              <w:t xml:space="preserve">Where will the research take place? Will other </w:t>
            </w:r>
            <w:r w:rsidRPr="00241827">
              <w:lastRenderedPageBreak/>
              <w:t>people be within earshot? How many people are in this population group? Could their story be identifiable to others because there are only one or two people in this situation? If you believe this could happen, either choose to not carry out the research with this particular person,</w:t>
            </w:r>
            <w:r w:rsidR="00A8157E">
              <w:t xml:space="preserve"> </w:t>
            </w:r>
            <w:r w:rsidRPr="00241827">
              <w:t>or agree you will not use any data that could identify them to others.</w:t>
            </w:r>
            <w:r w:rsidR="008542F0">
              <w:t xml:space="preserve"> </w:t>
            </w:r>
            <w:r w:rsidR="008542F0" w:rsidRPr="008542F0">
              <w:t>It's also important to ensure that personal data is only kept for as long as necessary and securely deleted when it is no longer needed.</w:t>
            </w:r>
          </w:p>
          <w:p w14:paraId="2311783C" w14:textId="77777777" w:rsidR="00D53FBA" w:rsidRPr="00241827" w:rsidRDefault="00D53FBA" w:rsidP="00241827">
            <w:pPr>
              <w:pStyle w:val="TableText"/>
            </w:pPr>
          </w:p>
        </w:tc>
      </w:tr>
      <w:tr w:rsidR="00D53FBA" w:rsidRPr="00241827" w14:paraId="009D929B" w14:textId="77777777" w:rsidTr="004A530B">
        <w:tc>
          <w:tcPr>
            <w:tcW w:w="1555" w:type="dxa"/>
          </w:tcPr>
          <w:p w14:paraId="208DD41B" w14:textId="77777777" w:rsidR="00D53FBA" w:rsidRPr="005A205F" w:rsidRDefault="00D53FBA" w:rsidP="00241827">
            <w:pPr>
              <w:pStyle w:val="TableText"/>
              <w:rPr>
                <w:b/>
                <w:bCs/>
              </w:rPr>
            </w:pPr>
            <w:r w:rsidRPr="005A205F">
              <w:rPr>
                <w:b/>
                <w:bCs/>
              </w:rPr>
              <w:lastRenderedPageBreak/>
              <w:t>Neutrality</w:t>
            </w:r>
          </w:p>
        </w:tc>
        <w:tc>
          <w:tcPr>
            <w:tcW w:w="7938" w:type="dxa"/>
          </w:tcPr>
          <w:p w14:paraId="5D5B19B5" w14:textId="1107534B" w:rsidR="00D53FBA" w:rsidRDefault="00D53FBA" w:rsidP="00241827">
            <w:pPr>
              <w:pStyle w:val="TableText"/>
              <w:rPr>
                <w:b/>
                <w:bCs/>
              </w:rPr>
            </w:pPr>
            <w:r w:rsidRPr="005A205F">
              <w:rPr>
                <w:b/>
                <w:bCs/>
              </w:rPr>
              <w:t>Have you taken reasonable steps to ensure the researcher remains objective?</w:t>
            </w:r>
          </w:p>
          <w:p w14:paraId="1DBAE9F1" w14:textId="77777777" w:rsidR="0029470B" w:rsidRPr="0029470B" w:rsidRDefault="0029470B" w:rsidP="00241827">
            <w:pPr>
              <w:pStyle w:val="TableText"/>
              <w:rPr>
                <w:b/>
                <w:bCs/>
              </w:rPr>
            </w:pPr>
          </w:p>
          <w:p w14:paraId="0AF61EC8" w14:textId="77777777" w:rsidR="00D53FBA" w:rsidRPr="00241827" w:rsidRDefault="00D53FBA" w:rsidP="00241827">
            <w:pPr>
              <w:pStyle w:val="TableText"/>
            </w:pPr>
            <w:r w:rsidRPr="00241827">
              <w:t>This means staying objective and not getting involved, even if the topic is sensitive. It also means avoiding bias – see our guidance on </w:t>
            </w:r>
            <w:hyperlink r:id="rId11" w:history="1">
              <w:r w:rsidRPr="00241827">
                <w:rPr>
                  <w:rStyle w:val="Hyperlink"/>
                  <w:color w:val="auto"/>
                  <w:u w:val="none"/>
                </w:rPr>
                <w:t>conducting interviews</w:t>
              </w:r>
            </w:hyperlink>
            <w:r w:rsidRPr="00241827">
              <w:t> and </w:t>
            </w:r>
            <w:hyperlink r:id="rId12" w:history="1">
              <w:r w:rsidRPr="00241827">
                <w:rPr>
                  <w:rStyle w:val="Hyperlink"/>
                  <w:color w:val="auto"/>
                  <w:u w:val="none"/>
                </w:rPr>
                <w:t>designing surveys</w:t>
              </w:r>
            </w:hyperlink>
            <w:r w:rsidRPr="00241827">
              <w:t>.</w:t>
            </w:r>
          </w:p>
          <w:p w14:paraId="1F0792F5" w14:textId="77777777" w:rsidR="00D53FBA" w:rsidRPr="00241827" w:rsidRDefault="00D53FBA" w:rsidP="00241827">
            <w:pPr>
              <w:pStyle w:val="TableText"/>
            </w:pPr>
          </w:p>
        </w:tc>
      </w:tr>
      <w:tr w:rsidR="00D53FBA" w:rsidRPr="00241827" w14:paraId="70F0055F" w14:textId="77777777" w:rsidTr="004A530B">
        <w:trPr>
          <w:trHeight w:val="1867"/>
        </w:trPr>
        <w:tc>
          <w:tcPr>
            <w:tcW w:w="1555" w:type="dxa"/>
          </w:tcPr>
          <w:p w14:paraId="380DF05E" w14:textId="77777777" w:rsidR="00D53FBA" w:rsidRPr="005A205F" w:rsidRDefault="00D53FBA" w:rsidP="00241827">
            <w:pPr>
              <w:pStyle w:val="TableText"/>
              <w:rPr>
                <w:b/>
                <w:bCs/>
              </w:rPr>
            </w:pPr>
            <w:r w:rsidRPr="005A205F">
              <w:rPr>
                <w:b/>
                <w:bCs/>
              </w:rPr>
              <w:t xml:space="preserve">Minimalism </w:t>
            </w:r>
          </w:p>
        </w:tc>
        <w:tc>
          <w:tcPr>
            <w:tcW w:w="7938" w:type="dxa"/>
          </w:tcPr>
          <w:p w14:paraId="09CB1880" w14:textId="77777777" w:rsidR="00D53FBA" w:rsidRDefault="00D53FBA" w:rsidP="00241827">
            <w:pPr>
              <w:pStyle w:val="TableText"/>
              <w:rPr>
                <w:b/>
                <w:bCs/>
              </w:rPr>
            </w:pPr>
            <w:r w:rsidRPr="005A205F">
              <w:rPr>
                <w:b/>
                <w:bCs/>
              </w:rPr>
              <w:t>Are you only collecting what you need to know?</w:t>
            </w:r>
          </w:p>
          <w:p w14:paraId="69C642FE" w14:textId="77777777" w:rsidR="0029470B" w:rsidRPr="005A205F" w:rsidRDefault="0029470B" w:rsidP="00241827">
            <w:pPr>
              <w:pStyle w:val="TableText"/>
              <w:rPr>
                <w:b/>
                <w:bCs/>
              </w:rPr>
            </w:pPr>
          </w:p>
          <w:p w14:paraId="0FEF788A" w14:textId="3449341D" w:rsidR="00D53FBA" w:rsidRPr="00241827" w:rsidRDefault="00D53FBA" w:rsidP="00241827">
            <w:pPr>
              <w:pStyle w:val="TableText"/>
            </w:pPr>
            <w:r w:rsidRPr="00241827">
              <w:t>Don’t collect any more information than you need to answer the main research question. It isn’t fair on participants to collect more of their personal data than you need, as it takes their time and effort, and puts information that is personal to them in the hands of other people.</w:t>
            </w:r>
            <w:r w:rsidR="00C34FC4">
              <w:t xml:space="preserve"> </w:t>
            </w:r>
            <w:r w:rsidR="00C34FC4" w:rsidRPr="00C34FC4">
              <w:t>It's also important to ensure that personal data is only kept for as long as necessary and securely deleted when it is no longer needed</w:t>
            </w:r>
          </w:p>
        </w:tc>
      </w:tr>
    </w:tbl>
    <w:p w14:paraId="4C514C59" w14:textId="77777777" w:rsidR="009011F4" w:rsidRDefault="009011F4" w:rsidP="00055834">
      <w:pPr>
        <w:rPr>
          <w:rFonts w:ascii="Arial" w:eastAsia="Arial" w:hAnsi="Arial" w:cs="Arial"/>
        </w:rPr>
      </w:pPr>
    </w:p>
    <w:sectPr w:rsidR="009011F4" w:rsidSect="0029470B">
      <w:headerReference w:type="first" r:id="rId13"/>
      <w:footerReference w:type="first" r:id="rId14"/>
      <w:pgSz w:w="11906" w:h="16838"/>
      <w:pgMar w:top="1264"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A20A" w14:textId="77777777" w:rsidR="00BF4A9A" w:rsidRDefault="00BF4A9A" w:rsidP="00684D16">
      <w:pPr>
        <w:spacing w:after="0" w:line="240" w:lineRule="auto"/>
      </w:pPr>
      <w:r>
        <w:separator/>
      </w:r>
    </w:p>
  </w:endnote>
  <w:endnote w:type="continuationSeparator" w:id="0">
    <w:p w14:paraId="16841A3E" w14:textId="77777777" w:rsidR="00BF4A9A" w:rsidRDefault="00BF4A9A" w:rsidP="00684D16">
      <w:pPr>
        <w:spacing w:after="0" w:line="240" w:lineRule="auto"/>
      </w:pPr>
      <w:r>
        <w:continuationSeparator/>
      </w:r>
    </w:p>
  </w:endnote>
  <w:endnote w:type="continuationNotice" w:id="1">
    <w:p w14:paraId="43CCF97D" w14:textId="77777777" w:rsidR="007C4F4D" w:rsidRDefault="007C4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D8C2" w14:textId="77777777" w:rsidR="00A313A9" w:rsidRPr="00FF5062" w:rsidRDefault="00A313A9" w:rsidP="00A313A9">
    <w:pPr>
      <w:tabs>
        <w:tab w:val="right" w:pos="14002"/>
      </w:tabs>
      <w:spacing w:after="0"/>
      <w:rPr>
        <w:rFonts w:ascii="Arial" w:eastAsia="Arial" w:hAnsi="Arial" w:cs="Times New Roman"/>
        <w:color w:val="666666"/>
        <w:sz w:val="18"/>
        <w:szCs w:val="18"/>
      </w:rPr>
    </w:pPr>
    <w:r w:rsidRPr="00FF5062">
      <w:rPr>
        <w:rFonts w:ascii="Arial" w:eastAsia="Arial" w:hAnsi="Arial" w:cs="Times New Roman"/>
        <w:color w:val="666666"/>
        <w:sz w:val="18"/>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FF5062">
        <w:rPr>
          <w:rFonts w:ascii="Arial" w:eastAsia="Arial" w:hAnsi="Arial" w:cs="Times New Roman"/>
          <w:color w:val="EC0080"/>
          <w:sz w:val="18"/>
          <w:szCs w:val="18"/>
          <w:u w:val="single"/>
        </w:rPr>
        <w:t>https://www.thinknpc.org/starting-to-measure-your-impact/</w:t>
      </w:r>
    </w:hyperlink>
    <w:r w:rsidRPr="00FF5062">
      <w:rPr>
        <w:rFonts w:ascii="Arial" w:eastAsia="Arial" w:hAnsi="Arial" w:cs="Times New Roman"/>
        <w:color w:val="EC0080"/>
        <w:sz w:val="18"/>
        <w:szCs w:val="18"/>
        <w:u w:val="single"/>
      </w:rPr>
      <w:t xml:space="preserve">    </w:t>
    </w:r>
  </w:p>
  <w:p w14:paraId="79C32252" w14:textId="35B365C4" w:rsidR="00D07B91" w:rsidRPr="00A313A9" w:rsidRDefault="00A313A9" w:rsidP="00A313A9">
    <w:pPr>
      <w:spacing w:after="0"/>
      <w:rPr>
        <w:rFonts w:ascii="Calibri" w:eastAsia="Arial" w:hAnsi="Calibri" w:cs="Calibri"/>
        <w:b/>
        <w:bCs/>
        <w:sz w:val="18"/>
        <w:szCs w:val="18"/>
      </w:rPr>
    </w:pPr>
    <w:r w:rsidRPr="00FF5062">
      <w:rPr>
        <w:rFonts w:ascii="Arial" w:eastAsia="Arial" w:hAnsi="Arial" w:cs="Times New Roman"/>
        <w:color w:val="666666"/>
        <w:sz w:val="18"/>
        <w:szCs w:val="18"/>
      </w:rPr>
      <w:t>Downloaded from:</w:t>
    </w:r>
    <w:r w:rsidRPr="00FF5062">
      <w:rPr>
        <w:rFonts w:ascii="Arial" w:eastAsia="Arial" w:hAnsi="Arial" w:cs="Times New Roman"/>
        <w:sz w:val="18"/>
        <w:szCs w:val="18"/>
      </w:rPr>
      <w:t xml:space="preserve"> </w:t>
    </w:r>
    <w:hyperlink r:id="rId2" w:history="1">
      <w:r w:rsidR="00C00270" w:rsidRPr="00C00270">
        <w:rPr>
          <w:rStyle w:val="Hyperlink"/>
          <w:sz w:val="18"/>
          <w:szCs w:val="18"/>
        </w:rPr>
        <w:t>https://www.thinknpc.org/resource-hub/the-cycle-of-good-impact-practice-research-ethics-and-data-protection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9195" w14:textId="77777777" w:rsidR="00BF4A9A" w:rsidRDefault="00BF4A9A" w:rsidP="00684D16">
      <w:pPr>
        <w:spacing w:after="0" w:line="240" w:lineRule="auto"/>
      </w:pPr>
      <w:r>
        <w:separator/>
      </w:r>
    </w:p>
  </w:footnote>
  <w:footnote w:type="continuationSeparator" w:id="0">
    <w:p w14:paraId="780B16E3" w14:textId="77777777" w:rsidR="00BF4A9A" w:rsidRDefault="00BF4A9A" w:rsidP="00684D16">
      <w:pPr>
        <w:spacing w:after="0" w:line="240" w:lineRule="auto"/>
      </w:pPr>
      <w:r>
        <w:continuationSeparator/>
      </w:r>
    </w:p>
  </w:footnote>
  <w:footnote w:type="continuationNotice" w:id="1">
    <w:p w14:paraId="04B72E08" w14:textId="77777777" w:rsidR="007C4F4D" w:rsidRDefault="007C4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A5AC" w14:textId="20AAB272" w:rsidR="00204861" w:rsidRDefault="00204861">
    <w:pPr>
      <w:pStyle w:val="Header"/>
    </w:pPr>
    <w:r>
      <w:rPr>
        <w:noProof/>
      </w:rPr>
      <w:drawing>
        <wp:anchor distT="0" distB="0" distL="114300" distR="114300" simplePos="0" relativeHeight="251658240" behindDoc="0" locked="0" layoutInCell="1" allowOverlap="1" wp14:anchorId="4F8C75BD" wp14:editId="66F31129">
          <wp:simplePos x="0" y="0"/>
          <wp:positionH relativeFrom="page">
            <wp:posOffset>6035574</wp:posOffset>
          </wp:positionH>
          <wp:positionV relativeFrom="page">
            <wp:posOffset>189129</wp:posOffset>
          </wp:positionV>
          <wp:extent cx="1327320" cy="668520"/>
          <wp:effectExtent l="0" t="0" r="6350" b="0"/>
          <wp:wrapNone/>
          <wp:docPr id="3" name="Picture 3"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5FEA6F3F"/>
    <w:multiLevelType w:val="multilevel"/>
    <w:tmpl w:val="FE882C88"/>
    <w:numStyleLink w:val="ListNumbers"/>
  </w:abstractNum>
  <w:abstractNum w:abstractNumId="12"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7C761CA3"/>
    <w:multiLevelType w:val="multilevel"/>
    <w:tmpl w:val="FE882C88"/>
    <w:numStyleLink w:val="ListNumbers"/>
  </w:abstractNum>
  <w:abstractNum w:abstractNumId="14" w15:restartNumberingAfterBreak="0">
    <w:nsid w:val="7D6F63D5"/>
    <w:multiLevelType w:val="multilevel"/>
    <w:tmpl w:val="FE882C88"/>
    <w:numStyleLink w:val="ListNumbers"/>
  </w:abstractNum>
  <w:num w:numId="1">
    <w:abstractNumId w:val="9"/>
  </w:num>
  <w:num w:numId="2">
    <w:abstractNumId w:val="12"/>
  </w:num>
  <w:num w:numId="3">
    <w:abstractNumId w:val="13"/>
  </w:num>
  <w:num w:numId="4">
    <w:abstractNumId w:val="8"/>
  </w:num>
  <w:num w:numId="5">
    <w:abstractNumId w:val="10"/>
  </w:num>
  <w:num w:numId="6">
    <w:abstractNumId w:val="14"/>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41E1D"/>
    <w:rsid w:val="00055834"/>
    <w:rsid w:val="000654F0"/>
    <w:rsid w:val="00077327"/>
    <w:rsid w:val="00096D19"/>
    <w:rsid w:val="000B146D"/>
    <w:rsid w:val="000C6F3B"/>
    <w:rsid w:val="000D5D6C"/>
    <w:rsid w:val="000D7990"/>
    <w:rsid w:val="000F006C"/>
    <w:rsid w:val="000F12AB"/>
    <w:rsid w:val="000F381A"/>
    <w:rsid w:val="00103BBD"/>
    <w:rsid w:val="00113E9E"/>
    <w:rsid w:val="001258E2"/>
    <w:rsid w:val="0012693F"/>
    <w:rsid w:val="00140F61"/>
    <w:rsid w:val="00171943"/>
    <w:rsid w:val="00171C5B"/>
    <w:rsid w:val="001D63D0"/>
    <w:rsid w:val="001F081D"/>
    <w:rsid w:val="0020260D"/>
    <w:rsid w:val="00204861"/>
    <w:rsid w:val="0020544C"/>
    <w:rsid w:val="002110F4"/>
    <w:rsid w:val="00232427"/>
    <w:rsid w:val="00234DDD"/>
    <w:rsid w:val="00241827"/>
    <w:rsid w:val="00242AD1"/>
    <w:rsid w:val="002504B2"/>
    <w:rsid w:val="00293C57"/>
    <w:rsid w:val="0029470B"/>
    <w:rsid w:val="002A56EE"/>
    <w:rsid w:val="002A57F5"/>
    <w:rsid w:val="002B2C23"/>
    <w:rsid w:val="002B4C99"/>
    <w:rsid w:val="002D4E68"/>
    <w:rsid w:val="002F1973"/>
    <w:rsid w:val="00336A50"/>
    <w:rsid w:val="00345289"/>
    <w:rsid w:val="00364EE8"/>
    <w:rsid w:val="003C7569"/>
    <w:rsid w:val="003D4AE0"/>
    <w:rsid w:val="00405541"/>
    <w:rsid w:val="00421CE3"/>
    <w:rsid w:val="00426B22"/>
    <w:rsid w:val="00447352"/>
    <w:rsid w:val="00453B86"/>
    <w:rsid w:val="00464157"/>
    <w:rsid w:val="004A3800"/>
    <w:rsid w:val="004A530B"/>
    <w:rsid w:val="004B4CF0"/>
    <w:rsid w:val="004B69B6"/>
    <w:rsid w:val="004B7A4F"/>
    <w:rsid w:val="004C50E3"/>
    <w:rsid w:val="004D3C4D"/>
    <w:rsid w:val="00506CA4"/>
    <w:rsid w:val="0051428E"/>
    <w:rsid w:val="0054773A"/>
    <w:rsid w:val="005769FB"/>
    <w:rsid w:val="00581C0F"/>
    <w:rsid w:val="00584982"/>
    <w:rsid w:val="005922A1"/>
    <w:rsid w:val="005A18E9"/>
    <w:rsid w:val="005A205F"/>
    <w:rsid w:val="005D0163"/>
    <w:rsid w:val="005D0658"/>
    <w:rsid w:val="005E0393"/>
    <w:rsid w:val="005F6643"/>
    <w:rsid w:val="00617EAE"/>
    <w:rsid w:val="00654E92"/>
    <w:rsid w:val="00662C31"/>
    <w:rsid w:val="00684D16"/>
    <w:rsid w:val="006A2F6B"/>
    <w:rsid w:val="006C6367"/>
    <w:rsid w:val="006F6466"/>
    <w:rsid w:val="00713B4A"/>
    <w:rsid w:val="00732F55"/>
    <w:rsid w:val="00741ED9"/>
    <w:rsid w:val="0075028B"/>
    <w:rsid w:val="007542AB"/>
    <w:rsid w:val="0075733E"/>
    <w:rsid w:val="00784165"/>
    <w:rsid w:val="007901ED"/>
    <w:rsid w:val="00795191"/>
    <w:rsid w:val="007A4670"/>
    <w:rsid w:val="007A4EA5"/>
    <w:rsid w:val="007B1C21"/>
    <w:rsid w:val="007C4F4D"/>
    <w:rsid w:val="007C53A9"/>
    <w:rsid w:val="007E001F"/>
    <w:rsid w:val="007F07ED"/>
    <w:rsid w:val="00806562"/>
    <w:rsid w:val="0080758F"/>
    <w:rsid w:val="00811287"/>
    <w:rsid w:val="00813BC3"/>
    <w:rsid w:val="008517E0"/>
    <w:rsid w:val="008542F0"/>
    <w:rsid w:val="0086768B"/>
    <w:rsid w:val="008F21E8"/>
    <w:rsid w:val="009011F4"/>
    <w:rsid w:val="009308B8"/>
    <w:rsid w:val="009356EC"/>
    <w:rsid w:val="00964111"/>
    <w:rsid w:val="009919CC"/>
    <w:rsid w:val="009A21BA"/>
    <w:rsid w:val="009A6CF4"/>
    <w:rsid w:val="009C37D1"/>
    <w:rsid w:val="009F5231"/>
    <w:rsid w:val="00A20F87"/>
    <w:rsid w:val="00A313A9"/>
    <w:rsid w:val="00A54E6F"/>
    <w:rsid w:val="00A8157E"/>
    <w:rsid w:val="00A975DA"/>
    <w:rsid w:val="00AA5764"/>
    <w:rsid w:val="00AA5FBA"/>
    <w:rsid w:val="00AB4DE9"/>
    <w:rsid w:val="00AC3AEA"/>
    <w:rsid w:val="00B007AB"/>
    <w:rsid w:val="00B31169"/>
    <w:rsid w:val="00B31923"/>
    <w:rsid w:val="00B3376A"/>
    <w:rsid w:val="00B620DC"/>
    <w:rsid w:val="00B9316B"/>
    <w:rsid w:val="00BA5D18"/>
    <w:rsid w:val="00BB29DA"/>
    <w:rsid w:val="00BB2BE1"/>
    <w:rsid w:val="00BB7A8D"/>
    <w:rsid w:val="00BC4956"/>
    <w:rsid w:val="00BD2152"/>
    <w:rsid w:val="00BF4A9A"/>
    <w:rsid w:val="00C00270"/>
    <w:rsid w:val="00C147F3"/>
    <w:rsid w:val="00C24A4D"/>
    <w:rsid w:val="00C34FC4"/>
    <w:rsid w:val="00C40E71"/>
    <w:rsid w:val="00C765C2"/>
    <w:rsid w:val="00CE172A"/>
    <w:rsid w:val="00D07B91"/>
    <w:rsid w:val="00D10F2A"/>
    <w:rsid w:val="00D17AF3"/>
    <w:rsid w:val="00D46D10"/>
    <w:rsid w:val="00D53FBA"/>
    <w:rsid w:val="00D907FF"/>
    <w:rsid w:val="00D90F03"/>
    <w:rsid w:val="00D94ABB"/>
    <w:rsid w:val="00D97555"/>
    <w:rsid w:val="00DC2163"/>
    <w:rsid w:val="00DD0DB5"/>
    <w:rsid w:val="00DD5CDB"/>
    <w:rsid w:val="00DD7A55"/>
    <w:rsid w:val="00DE72EE"/>
    <w:rsid w:val="00E178E5"/>
    <w:rsid w:val="00E25AA2"/>
    <w:rsid w:val="00E34B4A"/>
    <w:rsid w:val="00E40F9B"/>
    <w:rsid w:val="00E53ABA"/>
    <w:rsid w:val="00E61CFB"/>
    <w:rsid w:val="00E63C67"/>
    <w:rsid w:val="00E643B1"/>
    <w:rsid w:val="00E8669A"/>
    <w:rsid w:val="00E87A70"/>
    <w:rsid w:val="00EA1DE8"/>
    <w:rsid w:val="00EC32D5"/>
    <w:rsid w:val="00ED6BB7"/>
    <w:rsid w:val="00EE13D5"/>
    <w:rsid w:val="00F46658"/>
    <w:rsid w:val="00F53E64"/>
    <w:rsid w:val="00F6126F"/>
    <w:rsid w:val="00FC1B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8F69D28C-E460-4A78-81B1-FA1DECA2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paragraph" w:styleId="Heading5">
    <w:name w:val="heading 5"/>
    <w:basedOn w:val="Normal"/>
    <w:next w:val="Normal"/>
    <w:link w:val="Heading5Char"/>
    <w:uiPriority w:val="9"/>
    <w:semiHidden/>
    <w:unhideWhenUsed/>
    <w:qFormat/>
    <w:rsid w:val="00464157"/>
    <w:pPr>
      <w:keepNext/>
      <w:keepLines/>
      <w:spacing w:before="40" w:after="0"/>
      <w:outlineLvl w:val="4"/>
    </w:pPr>
    <w:rPr>
      <w:rFonts w:asciiTheme="majorHAnsi" w:eastAsiaTheme="majorEastAsia" w:hAnsiTheme="majorHAnsi" w:cstheme="majorBidi"/>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10"/>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semiHidden/>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semiHidden/>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character" w:customStyle="1" w:styleId="Heading5Char">
    <w:name w:val="Heading 5 Char"/>
    <w:basedOn w:val="DefaultParagraphFont"/>
    <w:link w:val="Heading5"/>
    <w:uiPriority w:val="9"/>
    <w:semiHidden/>
    <w:rsid w:val="00464157"/>
    <w:rPr>
      <w:rFonts w:asciiTheme="majorHAnsi" w:eastAsiaTheme="majorEastAsia" w:hAnsiTheme="majorHAnsi" w:cstheme="majorBidi"/>
      <w:color w:val="4C1B61" w:themeColor="accent1" w:themeShade="BF"/>
    </w:rPr>
  </w:style>
  <w:style w:type="table" w:styleId="GridTable1Light">
    <w:name w:val="Grid Table 1 Light"/>
    <w:basedOn w:val="TableNormal"/>
    <w:uiPriority w:val="46"/>
    <w:rsid w:val="00D90F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piringimpact.org/learn-to-measure/do/survey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piringimpact.org/learn-to-measure/do/interview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thinknpc.org/resource-hub/the-cycle-of-good-impact-practice-research-ethics-and-data-protection"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ABE98-AC07-4062-BA25-1DE542762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3.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4.xml><?xml version="1.0" encoding="utf-8"?>
<ds:datastoreItem xmlns:ds="http://schemas.openxmlformats.org/officeDocument/2006/customXml" ds:itemID="{DE04D2F3-63BC-40C8-8B5D-800D67D22856}">
  <ds:schemaRefs>
    <ds:schemaRef ds:uri="7b48635f-347b-4c1a-8b0a-1d72b55041b1"/>
    <ds:schemaRef ds:uri="http://schemas.microsoft.com/office/2006/metadata/properties"/>
    <ds:schemaRef ds:uri="http://purl.org/dc/dcmitype/"/>
    <ds:schemaRef ds:uri="http://purl.org/dc/terms/"/>
    <ds:schemaRef ds:uri="http://www.w3.org/XML/1998/namespace"/>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 Miller</cp:lastModifiedBy>
  <cp:revision>2</cp:revision>
  <dcterms:created xsi:type="dcterms:W3CDTF">2022-02-21T10:57:00Z</dcterms:created>
  <dcterms:modified xsi:type="dcterms:W3CDTF">2022-02-21T10:57:00Z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