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7196" w14:textId="57CF9822" w:rsidR="00D70A42" w:rsidRDefault="00D70A42" w:rsidP="00D70A42">
      <w:pPr>
        <w:pStyle w:val="Heading1"/>
        <w:rPr>
          <w:lang w:val="en-US"/>
        </w:rPr>
      </w:pPr>
      <w:bookmarkStart w:id="0" w:name="_Toc109210573"/>
      <w:r>
        <w:t>Financial Hardship in the UK</w:t>
      </w:r>
      <w:bookmarkEnd w:id="0"/>
    </w:p>
    <w:p w14:paraId="14D816E4" w14:textId="66699F2D" w:rsidR="00D70A42" w:rsidRDefault="00D70A42" w:rsidP="00D70A42">
      <w:pPr>
        <w:pStyle w:val="Heading2"/>
        <w:rPr>
          <w:lang w:val="en-US"/>
        </w:rPr>
      </w:pPr>
      <w:bookmarkStart w:id="1" w:name="_Toc109210574"/>
      <w:r>
        <w:t>Introduction</w:t>
      </w:r>
      <w:bookmarkEnd w:id="1"/>
    </w:p>
    <w:p w14:paraId="2FB6A438" w14:textId="299AD0C5" w:rsidR="304A591D" w:rsidRDefault="00BE2623" w:rsidP="4091DAC8">
      <w:pPr>
        <w:pStyle w:val="BodyText"/>
        <w:rPr>
          <w:lang w:val="en-US"/>
        </w:rPr>
      </w:pPr>
      <w:r>
        <w:t>NPC is the think tank and consultancy for the social sector. Across our work, we help charities, foundations, philanthropists, impact investors, social enterprises, corporates, and the public sector to maximise social impact in the lives of the people they serve.</w:t>
      </w:r>
      <w:r w:rsidR="4091DAC8" w:rsidRPr="4091DAC8">
        <w:rPr>
          <w:szCs w:val="22"/>
        </w:rPr>
        <w:t xml:space="preserve"> </w:t>
      </w:r>
    </w:p>
    <w:p w14:paraId="2C7D1C84" w14:textId="2512D9B7" w:rsidR="304A591D" w:rsidRDefault="304A591D" w:rsidP="1F9D62BC">
      <w:pPr>
        <w:pStyle w:val="NPCBodyText"/>
        <w:spacing w:line="360" w:lineRule="auto"/>
        <w:rPr>
          <w:rFonts w:eastAsia="Arial" w:cs="Arial"/>
          <w:sz w:val="22"/>
          <w:szCs w:val="22"/>
          <w:lang w:val="en-US"/>
        </w:rPr>
      </w:pPr>
      <w:r w:rsidRPr="4091DAC8">
        <w:rPr>
          <w:sz w:val="22"/>
          <w:szCs w:val="22"/>
        </w:rPr>
        <w:t>This paper was developed as part of the Open Philanthropy programme at NPC, which</w:t>
      </w:r>
      <w:r w:rsidR="1F9D62BC" w:rsidRPr="4091DAC8">
        <w:rPr>
          <w:rFonts w:eastAsia="Arial" w:cs="Arial"/>
          <w:sz w:val="22"/>
          <w:szCs w:val="22"/>
        </w:rPr>
        <w:t xml:space="preserve"> seeks to demonstrate that philanthropy can be done in the open, and that this can bring huge benefits, including greater efficiency, collaboration, inclusion and shifting power.  Our overall aim is to power up grant making so it is better informed, better coordinated, more efficient and more equal to the task of tackling major issues.</w:t>
      </w:r>
      <w:r w:rsidR="436C1F11">
        <w:t xml:space="preserve"> </w:t>
      </w:r>
      <w:r w:rsidR="436C1F11" w:rsidRPr="4091DAC8">
        <w:rPr>
          <w:sz w:val="22"/>
          <w:szCs w:val="22"/>
        </w:rPr>
        <w:t>As part of this programme, we will be launching a pop-up foundation in Autumn 2022 to test some of our hypotheses, awarding £500,000 in grants to the financial hardship sector</w:t>
      </w:r>
      <w:r w:rsidR="21D68732" w:rsidRPr="4091DAC8">
        <w:rPr>
          <w:sz w:val="22"/>
          <w:szCs w:val="22"/>
        </w:rPr>
        <w:t>.</w:t>
      </w:r>
    </w:p>
    <w:p w14:paraId="01C878E9" w14:textId="765DB390" w:rsidR="00455077" w:rsidRDefault="4091DAC8" w:rsidP="67478737">
      <w:pPr>
        <w:pStyle w:val="BodyText"/>
        <w:rPr>
          <w:lang w:val="en-US"/>
        </w:rPr>
      </w:pPr>
      <w:r>
        <w:t xml:space="preserve">Financial hardship was selected as a sector to receive funding over a year ago, as part of the planning for this programme. Since then, the cost-of-living crisis has emerged, creating even more urgency. NPC is delivering a wider programme of work in response to the </w:t>
      </w:r>
      <w:proofErr w:type="gramStart"/>
      <w:r>
        <w:t>cost of living</w:t>
      </w:r>
      <w:proofErr w:type="gramEnd"/>
      <w:r>
        <w:t xml:space="preserve"> crisis, with the first report available </w:t>
      </w:r>
      <w:hyperlink r:id="rId11">
        <w:r w:rsidRPr="4091DAC8">
          <w:rPr>
            <w:rStyle w:val="Hyperlink"/>
          </w:rPr>
          <w:t>here</w:t>
        </w:r>
      </w:hyperlink>
      <w:r>
        <w:t>.</w:t>
      </w:r>
    </w:p>
    <w:p w14:paraId="5FDCCBCD" w14:textId="33F2B9A3" w:rsidR="002F6EB2" w:rsidRPr="0053441D" w:rsidRDefault="0053441D" w:rsidP="67478737">
      <w:pPr>
        <w:pStyle w:val="BodyText"/>
        <w:rPr>
          <w:lang w:val="en-US"/>
        </w:rPr>
      </w:pPr>
      <w:r w:rsidRPr="7466C6AA">
        <w:rPr>
          <w:lang w:val="en-US"/>
        </w:rPr>
        <w:t>Specific positionality statements for the researchers involved in this work can be found in the endnotes</w:t>
      </w:r>
      <w:r w:rsidRPr="7466C6AA">
        <w:rPr>
          <w:rStyle w:val="EndnoteReference"/>
          <w:lang w:val="en-US"/>
        </w:rPr>
        <w:endnoteReference w:id="2"/>
      </w:r>
      <w:r w:rsidRPr="7466C6AA">
        <w:rPr>
          <w:lang w:val="en-US"/>
        </w:rPr>
        <w:t>.</w:t>
      </w:r>
    </w:p>
    <w:p w14:paraId="332F5F23" w14:textId="0A3B5857" w:rsidR="007749E5" w:rsidRPr="00937757" w:rsidRDefault="00C22AD6" w:rsidP="00937757">
      <w:pPr>
        <w:pStyle w:val="BodyText"/>
        <w:rPr>
          <w:lang w:val="en-US"/>
        </w:rPr>
      </w:pPr>
      <w:r>
        <w:rPr>
          <w:lang w:val="en-US"/>
        </w:rPr>
        <w:t xml:space="preserve">The aim of this paper is to </w:t>
      </w:r>
      <w:proofErr w:type="spellStart"/>
      <w:r>
        <w:rPr>
          <w:lang w:val="en-US"/>
        </w:rPr>
        <w:t>summarise</w:t>
      </w:r>
      <w:proofErr w:type="spellEnd"/>
      <w:r>
        <w:rPr>
          <w:lang w:val="en-US"/>
        </w:rPr>
        <w:t xml:space="preserve"> our current understanding of financial hardship</w:t>
      </w:r>
      <w:r w:rsidR="009D1CFF">
        <w:rPr>
          <w:rStyle w:val="EndnoteReference"/>
          <w:lang w:val="en-US"/>
        </w:rPr>
        <w:endnoteReference w:id="3"/>
      </w:r>
      <w:r>
        <w:rPr>
          <w:lang w:val="en-US"/>
        </w:rPr>
        <w:t xml:space="preserve"> in the UK, </w:t>
      </w:r>
      <w:proofErr w:type="gramStart"/>
      <w:r>
        <w:rPr>
          <w:lang w:val="en-US"/>
        </w:rPr>
        <w:t>in order to</w:t>
      </w:r>
      <w:proofErr w:type="gramEnd"/>
      <w:r>
        <w:rPr>
          <w:lang w:val="en-US"/>
        </w:rPr>
        <w:t xml:space="preserve"> help our funding panels to make </w:t>
      </w:r>
      <w:r w:rsidR="00E171F8">
        <w:rPr>
          <w:lang w:val="en-US"/>
        </w:rPr>
        <w:t xml:space="preserve">informed </w:t>
      </w:r>
      <w:r>
        <w:rPr>
          <w:lang w:val="en-US"/>
        </w:rPr>
        <w:t>decisions on funding</w:t>
      </w:r>
      <w:r w:rsidR="00E171F8">
        <w:rPr>
          <w:lang w:val="en-US"/>
        </w:rPr>
        <w:t xml:space="preserve">. This </w:t>
      </w:r>
      <w:r w:rsidR="009D1CFF">
        <w:rPr>
          <w:lang w:val="en-US"/>
        </w:rPr>
        <w:t xml:space="preserve">work is </w:t>
      </w:r>
      <w:proofErr w:type="gramStart"/>
      <w:r w:rsidR="009D1CFF">
        <w:rPr>
          <w:lang w:val="en-US"/>
        </w:rPr>
        <w:t>iterative, and</w:t>
      </w:r>
      <w:proofErr w:type="gramEnd"/>
      <w:r w:rsidR="009D1CFF">
        <w:rPr>
          <w:lang w:val="en-US"/>
        </w:rPr>
        <w:t xml:space="preserve"> </w:t>
      </w:r>
      <w:r w:rsidR="00E171F8">
        <w:rPr>
          <w:lang w:val="en-US"/>
        </w:rPr>
        <w:t>will not be the only evidence used by the panels</w:t>
      </w:r>
      <w:r w:rsidR="009D1CFF">
        <w:rPr>
          <w:lang w:val="en-US"/>
        </w:rPr>
        <w:t>. It</w:t>
      </w:r>
      <w:r w:rsidR="00E171F8">
        <w:rPr>
          <w:lang w:val="en-US"/>
        </w:rPr>
        <w:t xml:space="preserve"> is </w:t>
      </w:r>
      <w:r w:rsidR="009D1CFF">
        <w:rPr>
          <w:lang w:val="en-US"/>
        </w:rPr>
        <w:t xml:space="preserve">instead </w:t>
      </w:r>
      <w:r w:rsidR="00E171F8">
        <w:rPr>
          <w:lang w:val="en-US"/>
        </w:rPr>
        <w:t>intended as an overarching starting point</w:t>
      </w:r>
      <w:r w:rsidR="009D1CFF">
        <w:rPr>
          <w:lang w:val="en-US"/>
        </w:rPr>
        <w:t>, from which panels can identify areas of interest in which to receive further evidence</w:t>
      </w:r>
      <w:r w:rsidR="00E171F8">
        <w:rPr>
          <w:lang w:val="en-US"/>
        </w:rPr>
        <w:t>.</w:t>
      </w:r>
      <w:r w:rsidR="00E171F8" w:rsidRPr="1B25896C">
        <w:rPr>
          <w:lang w:val="en-US"/>
        </w:rPr>
        <w:t xml:space="preserve"> </w:t>
      </w:r>
    </w:p>
    <w:p w14:paraId="72BAD111" w14:textId="75A6108D" w:rsidR="00D70A42" w:rsidRDefault="00D70A42" w:rsidP="00D70A42">
      <w:pPr>
        <w:pStyle w:val="Heading2"/>
        <w:rPr>
          <w:lang w:val="en-US"/>
        </w:rPr>
      </w:pPr>
      <w:bookmarkStart w:id="2" w:name="_Toc109210575"/>
      <w:r>
        <w:t>What is the current situation of financial hardship in the UK?</w:t>
      </w:r>
      <w:bookmarkEnd w:id="2"/>
    </w:p>
    <w:p w14:paraId="2262F930" w14:textId="58602CB5" w:rsidR="00402976" w:rsidRPr="002A6C87" w:rsidRDefault="002A6C87" w:rsidP="00125418">
      <w:pPr>
        <w:pStyle w:val="ListBullet"/>
      </w:pPr>
      <w:r w:rsidRPr="002A6C87">
        <w:t>1 in 6</w:t>
      </w:r>
      <w:r w:rsidR="00402976" w:rsidRPr="002A6C87">
        <w:t xml:space="preserve"> people are in absolute low income before housing costs, </w:t>
      </w:r>
      <w:r w:rsidRPr="002A6C87">
        <w:t>rising to 1 in 5</w:t>
      </w:r>
      <w:r w:rsidR="00402976" w:rsidRPr="002A6C87">
        <w:t xml:space="preserve"> after housing costs</w:t>
      </w:r>
      <w:r w:rsidR="00ED1975" w:rsidRPr="002A6C87">
        <w:rPr>
          <w:rStyle w:val="FootnoteReference"/>
        </w:rPr>
        <w:footnoteReference w:id="2"/>
      </w:r>
    </w:p>
    <w:p w14:paraId="49FE635B" w14:textId="20BD6542" w:rsidR="00402976" w:rsidRPr="005D13C9" w:rsidRDefault="00402976" w:rsidP="00125418">
      <w:pPr>
        <w:pStyle w:val="ListBullet"/>
      </w:pPr>
      <w:r w:rsidRPr="005D13C9">
        <w:lastRenderedPageBreak/>
        <w:t>Overall rates of poverty have changed relatively little since the millennium (c22% of population)</w:t>
      </w:r>
      <w:r w:rsidR="00786FBE" w:rsidRPr="005D13C9">
        <w:rPr>
          <w:rStyle w:val="FootnoteReference"/>
        </w:rPr>
        <w:footnoteReference w:id="3"/>
      </w:r>
    </w:p>
    <w:p w14:paraId="3F366763" w14:textId="21BD9711" w:rsidR="00402976" w:rsidRPr="00AF4CA2" w:rsidRDefault="00402976" w:rsidP="00B13167">
      <w:pPr>
        <w:pStyle w:val="ListBullet"/>
      </w:pPr>
      <w:r w:rsidRPr="00AF4CA2">
        <w:rPr>
          <w:lang w:eastAsia="en-GB"/>
        </w:rPr>
        <w:t xml:space="preserve">Deep poverty (those living more than 50% below the </w:t>
      </w:r>
      <w:r w:rsidR="00F4635A" w:rsidRPr="00AF4CA2">
        <w:rPr>
          <w:lang w:eastAsia="en-GB"/>
        </w:rPr>
        <w:t>Minimum Income Standard</w:t>
      </w:r>
      <w:r w:rsidRPr="00AF4CA2">
        <w:rPr>
          <w:lang w:eastAsia="en-GB"/>
        </w:rPr>
        <w:t>) has increased in the last two decades, with 4.5million people (7% of the population) now living in the deepest forms of poverty</w:t>
      </w:r>
      <w:r w:rsidR="00AF4CA2" w:rsidRPr="00AF4CA2">
        <w:rPr>
          <w:rStyle w:val="FootnoteReference"/>
          <w:lang w:eastAsia="en-GB"/>
        </w:rPr>
        <w:footnoteReference w:id="4"/>
      </w:r>
      <w:r w:rsidRPr="00AF4CA2">
        <w:rPr>
          <w:lang w:eastAsia="en-GB"/>
        </w:rPr>
        <w:t xml:space="preserve"> </w:t>
      </w:r>
    </w:p>
    <w:p w14:paraId="7218CDD4" w14:textId="10A4A681" w:rsidR="00B65D27" w:rsidRPr="00C56438" w:rsidRDefault="00402976" w:rsidP="00F4635A">
      <w:pPr>
        <w:pStyle w:val="ListBullet"/>
        <w:rPr>
          <w:lang w:eastAsia="en-GB"/>
        </w:rPr>
      </w:pPr>
      <w:r w:rsidRPr="00C56438">
        <w:t>More than half of families on Universal Credit or legacy benefits live in poverty</w:t>
      </w:r>
      <w:r w:rsidR="00BA1039" w:rsidRPr="00C56438">
        <w:rPr>
          <w:rStyle w:val="FootnoteReference"/>
        </w:rPr>
        <w:footnoteReference w:id="5"/>
      </w:r>
    </w:p>
    <w:p w14:paraId="7E97BC4C" w14:textId="23941160" w:rsidR="003C6CCC" w:rsidRPr="00B322AD" w:rsidRDefault="003C6CCC" w:rsidP="4091DAC8">
      <w:pPr>
        <w:pStyle w:val="Textboxtitle"/>
        <w:pBdr>
          <w:right w:val="single" w:sz="18" w:space="0" w:color="662583" w:themeColor="accent1"/>
        </w:pBdr>
        <w:ind w:left="0"/>
        <w:rPr>
          <w:lang w:eastAsia="en-GB"/>
        </w:rPr>
      </w:pPr>
      <w:r w:rsidRPr="00B322AD">
        <w:rPr>
          <w:lang w:eastAsia="en-GB"/>
        </w:rPr>
        <w:t>Top local authorities by local hardship grants awarded</w:t>
      </w:r>
      <w:r w:rsidR="00B322AD" w:rsidRPr="00B322AD">
        <w:rPr>
          <w:rStyle w:val="FootnoteReference"/>
          <w:lang w:eastAsia="en-GB"/>
        </w:rPr>
        <w:footnoteReference w:id="6"/>
      </w:r>
    </w:p>
    <w:p w14:paraId="6ED5D80A" w14:textId="664367A1" w:rsidR="003C6CCC" w:rsidRPr="00B322AD" w:rsidRDefault="00A015CA" w:rsidP="00E82EAB">
      <w:pPr>
        <w:pStyle w:val="Textboxcontent"/>
        <w:numPr>
          <w:ilvl w:val="0"/>
          <w:numId w:val="19"/>
        </w:numPr>
        <w:pBdr>
          <w:right w:val="single" w:sz="18" w:space="0" w:color="662583" w:themeColor="accent1"/>
        </w:pBdr>
        <w:spacing w:line="240" w:lineRule="auto"/>
        <w:rPr>
          <w:lang w:eastAsia="en-GB"/>
        </w:rPr>
      </w:pPr>
      <w:r>
        <w:t>Edinburgh</w:t>
      </w:r>
    </w:p>
    <w:p w14:paraId="5DDFBF10" w14:textId="0E2C80CC" w:rsidR="00A015CA" w:rsidRPr="00B322AD" w:rsidRDefault="00A015CA" w:rsidP="00E82EAB">
      <w:pPr>
        <w:pStyle w:val="Textboxcontent"/>
        <w:numPr>
          <w:ilvl w:val="0"/>
          <w:numId w:val="19"/>
        </w:numPr>
        <w:pBdr>
          <w:right w:val="single" w:sz="18" w:space="0" w:color="662583" w:themeColor="accent1"/>
        </w:pBdr>
        <w:spacing w:line="240" w:lineRule="auto"/>
        <w:rPr>
          <w:lang w:eastAsia="en-GB"/>
        </w:rPr>
      </w:pPr>
      <w:r>
        <w:t>Kensington &amp; Chelsea</w:t>
      </w:r>
    </w:p>
    <w:p w14:paraId="620297BB" w14:textId="39164B45" w:rsidR="00A015CA" w:rsidRPr="00B322AD" w:rsidRDefault="00A015CA" w:rsidP="00E82EAB">
      <w:pPr>
        <w:pStyle w:val="Textboxcontent"/>
        <w:numPr>
          <w:ilvl w:val="0"/>
          <w:numId w:val="19"/>
        </w:numPr>
        <w:pBdr>
          <w:right w:val="single" w:sz="18" w:space="0" w:color="662583" w:themeColor="accent1"/>
        </w:pBdr>
        <w:spacing w:line="240" w:lineRule="auto"/>
        <w:rPr>
          <w:lang w:eastAsia="en-GB"/>
        </w:rPr>
      </w:pPr>
      <w:r>
        <w:t>Lambeth</w:t>
      </w:r>
    </w:p>
    <w:p w14:paraId="1FDB519F" w14:textId="410BC44F" w:rsidR="00A015CA" w:rsidRPr="00B322AD" w:rsidRDefault="00A015CA" w:rsidP="00E82EAB">
      <w:pPr>
        <w:pStyle w:val="Textboxcontent"/>
        <w:numPr>
          <w:ilvl w:val="0"/>
          <w:numId w:val="19"/>
        </w:numPr>
        <w:pBdr>
          <w:right w:val="single" w:sz="18" w:space="0" w:color="662583" w:themeColor="accent1"/>
        </w:pBdr>
        <w:spacing w:line="240" w:lineRule="auto"/>
        <w:rPr>
          <w:lang w:eastAsia="en-GB"/>
        </w:rPr>
      </w:pPr>
      <w:r>
        <w:t>Cornwall</w:t>
      </w:r>
    </w:p>
    <w:p w14:paraId="19AC0502" w14:textId="488346EB" w:rsidR="00A015CA" w:rsidRPr="00B322AD" w:rsidRDefault="00A015CA" w:rsidP="00E82EAB">
      <w:pPr>
        <w:pStyle w:val="Textboxcontent"/>
        <w:numPr>
          <w:ilvl w:val="0"/>
          <w:numId w:val="19"/>
        </w:numPr>
        <w:pBdr>
          <w:right w:val="single" w:sz="18" w:space="0" w:color="662583" w:themeColor="accent1"/>
        </w:pBdr>
        <w:spacing w:line="240" w:lineRule="auto"/>
        <w:rPr>
          <w:lang w:eastAsia="en-GB"/>
        </w:rPr>
      </w:pPr>
      <w:r>
        <w:t>Birmingham</w:t>
      </w:r>
    </w:p>
    <w:p w14:paraId="3277C4CA" w14:textId="082DE458" w:rsidR="00A015CA" w:rsidRPr="00B322AD" w:rsidRDefault="00A015CA" w:rsidP="00E82EAB">
      <w:pPr>
        <w:pStyle w:val="Textboxcontent"/>
        <w:numPr>
          <w:ilvl w:val="0"/>
          <w:numId w:val="19"/>
        </w:numPr>
        <w:pBdr>
          <w:right w:val="single" w:sz="18" w:space="0" w:color="662583" w:themeColor="accent1"/>
        </w:pBdr>
        <w:spacing w:line="240" w:lineRule="auto"/>
        <w:rPr>
          <w:lang w:eastAsia="en-GB"/>
        </w:rPr>
      </w:pPr>
      <w:r>
        <w:t xml:space="preserve">Lewisham </w:t>
      </w:r>
    </w:p>
    <w:p w14:paraId="368A6B74" w14:textId="5184C399" w:rsidR="00A015CA" w:rsidRPr="00B322AD" w:rsidRDefault="00A015CA" w:rsidP="00E82EAB">
      <w:pPr>
        <w:pStyle w:val="Textboxcontent"/>
        <w:numPr>
          <w:ilvl w:val="0"/>
          <w:numId w:val="19"/>
        </w:numPr>
        <w:pBdr>
          <w:right w:val="single" w:sz="18" w:space="0" w:color="662583" w:themeColor="accent1"/>
        </w:pBdr>
        <w:spacing w:line="240" w:lineRule="auto"/>
        <w:rPr>
          <w:lang w:eastAsia="en-GB"/>
        </w:rPr>
      </w:pPr>
      <w:r>
        <w:t>City of Bristol</w:t>
      </w:r>
    </w:p>
    <w:p w14:paraId="7A2CD4A4" w14:textId="17AA69DD" w:rsidR="00D70A42" w:rsidRDefault="00D70A42" w:rsidP="00D70A42">
      <w:pPr>
        <w:pStyle w:val="Heading2"/>
        <w:rPr>
          <w:lang w:val="en-US"/>
        </w:rPr>
      </w:pPr>
      <w:bookmarkStart w:id="3" w:name="_Toc109210576"/>
      <w:r>
        <w:t>What are the main causes of financial hardship</w:t>
      </w:r>
      <w:r w:rsidR="006D01FB">
        <w:t xml:space="preserve"> and who is being dis</w:t>
      </w:r>
      <w:r w:rsidR="00C41A07">
        <w:t>proportionately affected</w:t>
      </w:r>
      <w:r>
        <w:t>?</w:t>
      </w:r>
      <w:bookmarkEnd w:id="3"/>
    </w:p>
    <w:p w14:paraId="64C04390" w14:textId="58FACA9C" w:rsidR="00DD2CC1" w:rsidRPr="00DD2CC1" w:rsidRDefault="00DD2CC1" w:rsidP="00DD2CC1">
      <w:pPr>
        <w:pStyle w:val="BodyText"/>
        <w:rPr>
          <w:lang w:eastAsia="en-GB"/>
        </w:rPr>
      </w:pPr>
      <w:r>
        <w:t>The main causes of financial hardship are:</w:t>
      </w:r>
    </w:p>
    <w:p w14:paraId="7F0BCF76" w14:textId="77777777" w:rsidR="00DD2CC1" w:rsidRPr="00DD2CC1" w:rsidRDefault="00DD2CC1" w:rsidP="00DD2CC1">
      <w:pPr>
        <w:pStyle w:val="ListBullet"/>
        <w:rPr>
          <w:lang w:eastAsia="en-GB"/>
        </w:rPr>
      </w:pPr>
      <w:r>
        <w:t>Problems with the benefits / welfare system, including insufficient levels of support, cuts to services, debt deductions and sanctions, benefits caps, and barriers to accessing benefits</w:t>
      </w:r>
    </w:p>
    <w:p w14:paraId="0322CD18" w14:textId="77777777" w:rsidR="00DD2CC1" w:rsidRDefault="00DD2CC1" w:rsidP="00DD2CC1">
      <w:pPr>
        <w:pStyle w:val="ListBullet"/>
        <w:rPr>
          <w:lang w:eastAsia="en-GB"/>
        </w:rPr>
      </w:pPr>
      <w:r>
        <w:t>Entrenched pay inequalities, meaning that in work poverty persists and disproportionately affects set groups. These include insecure contracts and low wages.</w:t>
      </w:r>
    </w:p>
    <w:p w14:paraId="6BBE38F1" w14:textId="470A4F24" w:rsidR="000947A3" w:rsidRPr="004A1707" w:rsidRDefault="004F0F8F" w:rsidP="004A1707">
      <w:pPr>
        <w:pStyle w:val="ListBullet"/>
        <w:numPr>
          <w:ilvl w:val="0"/>
          <w:numId w:val="0"/>
        </w:numPr>
        <w:rPr>
          <w:b/>
          <w:bCs/>
          <w:lang w:eastAsia="en-GB"/>
        </w:rPr>
      </w:pPr>
      <w:r>
        <w:lastRenderedPageBreak/>
        <w:t xml:space="preserve">Other factors affect the extent to which these factors lead to financial hardship, such as </w:t>
      </w:r>
      <w:r w:rsidRPr="4091DAC8">
        <w:rPr>
          <w:b/>
          <w:bCs/>
        </w:rPr>
        <w:t xml:space="preserve">ill health, relationship breakdown, </w:t>
      </w:r>
      <w:proofErr w:type="gramStart"/>
      <w:r w:rsidRPr="4091DAC8">
        <w:rPr>
          <w:b/>
          <w:bCs/>
        </w:rPr>
        <w:t>redundancy</w:t>
      </w:r>
      <w:proofErr w:type="gramEnd"/>
      <w:r w:rsidRPr="4091DAC8">
        <w:rPr>
          <w:b/>
          <w:bCs/>
        </w:rPr>
        <w:t xml:space="preserve"> or cuts to working hours, weak local economies,</w:t>
      </w:r>
      <w:r w:rsidR="004A1707" w:rsidRPr="4091DAC8">
        <w:rPr>
          <w:b/>
          <w:bCs/>
        </w:rPr>
        <w:t xml:space="preserve"> and inherited poverty.</w:t>
      </w:r>
    </w:p>
    <w:p w14:paraId="0EACAD8F" w14:textId="75ABC103" w:rsidR="00012074" w:rsidRDefault="00012074" w:rsidP="00392F24">
      <w:pPr>
        <w:pStyle w:val="BodyText"/>
        <w:rPr>
          <w:highlight w:val="yellow"/>
          <w:lang w:eastAsia="en-GB"/>
        </w:rPr>
      </w:pPr>
      <w:r>
        <w:t>Specific groups face specific challenges and causes in relation to financial hardship</w:t>
      </w:r>
      <w:r w:rsidR="00392F24">
        <w:t>. Though we have separated these out into specific groups, it is important to note that intersectionality between these elements creates complex situations in individual cases – for example, the experiences of disabled women in relation to financial hardship are different from both that of women and that of disabled people more generally.</w:t>
      </w:r>
    </w:p>
    <w:tbl>
      <w:tblPr>
        <w:tblStyle w:val="ListTable3-Accent1"/>
        <w:tblW w:w="0" w:type="auto"/>
        <w:tblLook w:val="04A0" w:firstRow="1" w:lastRow="0" w:firstColumn="1" w:lastColumn="0" w:noHBand="0" w:noVBand="1"/>
      </w:tblPr>
      <w:tblGrid>
        <w:gridCol w:w="4814"/>
        <w:gridCol w:w="4814"/>
      </w:tblGrid>
      <w:tr w:rsidR="00873EC6" w14:paraId="4FFCE137" w14:textId="77777777" w:rsidTr="4091D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Pr>
          <w:p w14:paraId="26C0DD77" w14:textId="67AF7B14" w:rsidR="00873EC6" w:rsidRPr="008E1A30" w:rsidRDefault="289C1ABC" w:rsidP="00652781">
            <w:pPr>
              <w:pStyle w:val="BodyText"/>
              <w:jc w:val="center"/>
              <w:rPr>
                <w:lang w:val="en-US"/>
              </w:rPr>
            </w:pPr>
            <w:r>
              <w:t xml:space="preserve">Families, </w:t>
            </w:r>
            <w:proofErr w:type="gramStart"/>
            <w:r>
              <w:t>children</w:t>
            </w:r>
            <w:proofErr w:type="gramEnd"/>
            <w:r>
              <w:t xml:space="preserve"> and young people</w:t>
            </w:r>
          </w:p>
        </w:tc>
      </w:tr>
      <w:tr w:rsidR="00873EC6" w14:paraId="68D6961B" w14:textId="77777777" w:rsidTr="4091D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69FDBDA1" w14:textId="7ED8A0E5" w:rsidR="00873EC6" w:rsidRPr="00EB2879" w:rsidRDefault="289C1ABC" w:rsidP="00012074">
            <w:pPr>
              <w:pStyle w:val="BodyText"/>
              <w:rPr>
                <w:lang w:val="en-AU"/>
              </w:rPr>
            </w:pPr>
            <w:r>
              <w:t>Current situation</w:t>
            </w:r>
          </w:p>
          <w:p w14:paraId="0E57B9B5" w14:textId="79CA8260" w:rsidR="00873EC6" w:rsidRPr="00831F6B" w:rsidRDefault="29441D1F" w:rsidP="00873EC6">
            <w:pPr>
              <w:pStyle w:val="ListBullet"/>
              <w:rPr>
                <w:b w:val="0"/>
                <w:bCs w:val="0"/>
                <w:lang w:val="en-AU"/>
              </w:rPr>
            </w:pPr>
            <w:r w:rsidRPr="00831F6B">
              <w:rPr>
                <w:b w:val="0"/>
                <w:bCs w:val="0"/>
                <w:lang w:val="en-AU"/>
              </w:rPr>
              <w:t>3.9</w:t>
            </w:r>
            <w:r w:rsidR="289C1ABC" w:rsidRPr="00831F6B">
              <w:rPr>
                <w:b w:val="0"/>
                <w:bCs w:val="0"/>
                <w:lang w:val="en-AU"/>
              </w:rPr>
              <w:t xml:space="preserve"> million children in the UK live in poverty</w:t>
            </w:r>
            <w:r w:rsidR="00831F6B" w:rsidRPr="00831F6B">
              <w:rPr>
                <w:rStyle w:val="FootnoteReference"/>
                <w:b w:val="0"/>
                <w:bCs w:val="0"/>
                <w:lang w:val="en-AU"/>
              </w:rPr>
              <w:footnoteReference w:id="7"/>
            </w:r>
            <w:r w:rsidR="289C1ABC" w:rsidRPr="00831F6B">
              <w:rPr>
                <w:b w:val="0"/>
                <w:bCs w:val="0"/>
                <w:lang w:val="en-AU"/>
              </w:rPr>
              <w:t>.</w:t>
            </w:r>
          </w:p>
          <w:p w14:paraId="47A28A0E" w14:textId="1F605280" w:rsidR="00873EC6" w:rsidRPr="00831F6B" w:rsidRDefault="289C1ABC" w:rsidP="00873EC6">
            <w:pPr>
              <w:pStyle w:val="ListBullet"/>
              <w:rPr>
                <w:b w:val="0"/>
                <w:bCs w:val="0"/>
                <w:lang w:val="en-AU"/>
              </w:rPr>
            </w:pPr>
            <w:r w:rsidRPr="00831F6B">
              <w:rPr>
                <w:b w:val="0"/>
                <w:bCs w:val="0"/>
                <w:lang w:val="en-AU"/>
              </w:rPr>
              <w:t>Poverty rates are higher for families with three or more children (47%)</w:t>
            </w:r>
            <w:r w:rsidR="00831F6B" w:rsidRPr="00831F6B">
              <w:rPr>
                <w:rStyle w:val="FootnoteReference"/>
                <w:b w:val="0"/>
                <w:bCs w:val="0"/>
                <w:lang w:val="en-AU"/>
              </w:rPr>
              <w:footnoteReference w:id="8"/>
            </w:r>
            <w:r w:rsidRPr="00831F6B">
              <w:rPr>
                <w:b w:val="0"/>
                <w:bCs w:val="0"/>
                <w:lang w:val="en-AU"/>
              </w:rPr>
              <w:t>.</w:t>
            </w:r>
          </w:p>
          <w:p w14:paraId="4D1C938D" w14:textId="44302A10" w:rsidR="00873EC6" w:rsidRPr="00652781" w:rsidRDefault="289C1ABC" w:rsidP="00873EC6">
            <w:pPr>
              <w:pStyle w:val="ListBullet"/>
              <w:rPr>
                <w:b w:val="0"/>
                <w:bCs w:val="0"/>
                <w:lang w:val="en-AU"/>
              </w:rPr>
            </w:pPr>
            <w:r w:rsidRPr="00652781">
              <w:rPr>
                <w:b w:val="0"/>
                <w:bCs w:val="0"/>
                <w:lang w:val="en-AU"/>
              </w:rPr>
              <w:t xml:space="preserve">Almost half of children are living in families who are unable to meet the costs of some </w:t>
            </w:r>
            <w:proofErr w:type="gramStart"/>
            <w:r w:rsidRPr="00652781">
              <w:rPr>
                <w:b w:val="0"/>
                <w:bCs w:val="0"/>
                <w:lang w:val="en-AU"/>
              </w:rPr>
              <w:t>basic necessities</w:t>
            </w:r>
            <w:proofErr w:type="gramEnd"/>
            <w:r w:rsidR="000659AE">
              <w:rPr>
                <w:rStyle w:val="FootnoteReference"/>
                <w:b w:val="0"/>
                <w:bCs w:val="0"/>
                <w:lang w:val="en-AU"/>
              </w:rPr>
              <w:footnoteReference w:id="9"/>
            </w:r>
            <w:r w:rsidRPr="00652781">
              <w:rPr>
                <w:b w:val="0"/>
                <w:bCs w:val="0"/>
                <w:lang w:val="en-AU"/>
              </w:rPr>
              <w:t>.</w:t>
            </w:r>
          </w:p>
          <w:p w14:paraId="0A643B3B" w14:textId="2DDCC523" w:rsidR="00873EC6" w:rsidRPr="005775C7" w:rsidRDefault="289C1ABC" w:rsidP="00873EC6">
            <w:pPr>
              <w:pStyle w:val="ListBullet"/>
              <w:rPr>
                <w:b w:val="0"/>
                <w:bCs w:val="0"/>
                <w:lang w:val="en-AU"/>
              </w:rPr>
            </w:pPr>
            <w:r w:rsidRPr="005775C7">
              <w:rPr>
                <w:b w:val="0"/>
                <w:bCs w:val="0"/>
                <w:lang w:val="en-AU"/>
              </w:rPr>
              <w:t>Parents have a relative poverty rate of 25% compared to 18% for working age adults without dependent children</w:t>
            </w:r>
            <w:r w:rsidR="00045631" w:rsidRPr="005775C7">
              <w:rPr>
                <w:rStyle w:val="FootnoteReference"/>
                <w:b w:val="0"/>
                <w:bCs w:val="0"/>
                <w:lang w:val="en-AU"/>
              </w:rPr>
              <w:footnoteReference w:id="10"/>
            </w:r>
            <w:r w:rsidRPr="005775C7">
              <w:rPr>
                <w:b w:val="0"/>
                <w:bCs w:val="0"/>
                <w:lang w:val="en-AU"/>
              </w:rPr>
              <w:t xml:space="preserve">. </w:t>
            </w:r>
          </w:p>
          <w:p w14:paraId="1DA0AF00" w14:textId="4164FE58" w:rsidR="00873EC6" w:rsidRPr="00B215C9" w:rsidRDefault="289C1ABC" w:rsidP="00873EC6">
            <w:pPr>
              <w:pStyle w:val="ListBullet"/>
              <w:rPr>
                <w:b w:val="0"/>
                <w:bCs w:val="0"/>
                <w:lang w:val="en-AU"/>
              </w:rPr>
            </w:pPr>
            <w:r w:rsidRPr="00B215C9">
              <w:rPr>
                <w:b w:val="0"/>
                <w:bCs w:val="0"/>
                <w:lang w:val="en-AU"/>
              </w:rPr>
              <w:lastRenderedPageBreak/>
              <w:t>Financial hardship disproportionately affects single parents</w:t>
            </w:r>
            <w:r w:rsidR="00000A8F" w:rsidRPr="00B215C9">
              <w:rPr>
                <w:rStyle w:val="FootnoteReference"/>
                <w:b w:val="0"/>
                <w:bCs w:val="0"/>
                <w:lang w:val="en-AU"/>
              </w:rPr>
              <w:footnoteReference w:id="11"/>
            </w:r>
            <w:r w:rsidRPr="00B215C9">
              <w:rPr>
                <w:b w:val="0"/>
                <w:bCs w:val="0"/>
                <w:lang w:val="en-AU"/>
              </w:rPr>
              <w:t xml:space="preserve">. </w:t>
            </w:r>
          </w:p>
          <w:p w14:paraId="3358E3A8" w14:textId="401EEE25" w:rsidR="00873EC6" w:rsidRPr="00873EC6" w:rsidRDefault="289C1ABC" w:rsidP="00873EC6">
            <w:pPr>
              <w:pStyle w:val="ListBullet"/>
              <w:rPr>
                <w:lang w:val="en-AU"/>
              </w:rPr>
            </w:pPr>
            <w:r w:rsidRPr="00B81B55">
              <w:rPr>
                <w:b w:val="0"/>
                <w:bCs w:val="0"/>
                <w:lang w:val="en-AU"/>
              </w:rPr>
              <w:t>During Covid-19, 9% of single parents (62% of whom are women) say they have had to cut their hours or stop working to care for children or others</w:t>
            </w:r>
            <w:r w:rsidR="00B81B55" w:rsidRPr="00B81B55">
              <w:rPr>
                <w:rStyle w:val="FootnoteReference"/>
                <w:b w:val="0"/>
                <w:bCs w:val="0"/>
                <w:lang w:val="en-AU"/>
              </w:rPr>
              <w:footnoteReference w:id="12"/>
            </w:r>
            <w:r w:rsidRPr="00B81B55">
              <w:rPr>
                <w:lang w:val="en-AU"/>
              </w:rPr>
              <w:t>.</w:t>
            </w:r>
          </w:p>
        </w:tc>
        <w:tc>
          <w:tcPr>
            <w:tcW w:w="4814" w:type="dxa"/>
          </w:tcPr>
          <w:p w14:paraId="330EEE8B" w14:textId="77777777" w:rsidR="00873EC6" w:rsidRDefault="289C1ABC"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r w:rsidRPr="4091DAC8">
              <w:rPr>
                <w:b/>
                <w:bCs/>
              </w:rPr>
              <w:lastRenderedPageBreak/>
              <w:t>Causes</w:t>
            </w:r>
          </w:p>
          <w:p w14:paraId="3A122056" w14:textId="2FDB3A46" w:rsidR="00873EC6" w:rsidRDefault="2D4D134C" w:rsidP="00873EC6">
            <w:pPr>
              <w:pStyle w:val="ListBulle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Lack of policy </w:t>
            </w:r>
            <w:r w:rsidRPr="007F5A66">
              <w:rPr>
                <w:lang w:val="en-US"/>
              </w:rPr>
              <w:t>focus: between 1998 and 2003, child poverty was a specific government priority and the number of children in poverty fell by 600,000</w:t>
            </w:r>
            <w:r w:rsidR="000841F2" w:rsidRPr="007F5A66">
              <w:rPr>
                <w:rStyle w:val="FootnoteReference"/>
                <w:lang w:val="en-US"/>
              </w:rPr>
              <w:footnoteReference w:id="13"/>
            </w:r>
          </w:p>
          <w:p w14:paraId="21C41D8D" w14:textId="77777777" w:rsidR="009D5703" w:rsidRPr="006339AE" w:rsidRDefault="2D4D134C" w:rsidP="00873EC6">
            <w:pPr>
              <w:pStyle w:val="ListBullet"/>
              <w:cnfStyle w:val="000000100000" w:firstRow="0" w:lastRow="0" w:firstColumn="0" w:lastColumn="0" w:oddVBand="0" w:evenVBand="0" w:oddHBand="1" w:evenHBand="0" w:firstRowFirstColumn="0" w:firstRowLastColumn="0" w:lastRowFirstColumn="0" w:lastRowLastColumn="0"/>
              <w:rPr>
                <w:lang w:val="en-US"/>
              </w:rPr>
            </w:pPr>
            <w:r>
              <w:t>Low wages and high childcare costs lead people to leave the workforce</w:t>
            </w:r>
          </w:p>
          <w:p w14:paraId="69C4B6A4" w14:textId="569B5B20" w:rsidR="008413E5" w:rsidRPr="006339AE" w:rsidRDefault="67A02DC6" w:rsidP="00873EC6">
            <w:pPr>
              <w:pStyle w:val="ListBullet"/>
              <w:cnfStyle w:val="000000100000" w:firstRow="0" w:lastRow="0" w:firstColumn="0" w:lastColumn="0" w:oddVBand="0" w:evenVBand="0" w:oddHBand="1" w:evenHBand="0" w:firstRowFirstColumn="0" w:firstRowLastColumn="0" w:lastRowFirstColumn="0" w:lastRowLastColumn="0"/>
              <w:rPr>
                <w:lang w:val="en-US"/>
              </w:rPr>
            </w:pPr>
            <w:r w:rsidRPr="006339AE">
              <w:rPr>
                <w:lang w:val="en-US"/>
              </w:rPr>
              <w:t>Council spending on vulnerable children has halved in the last decade</w:t>
            </w:r>
            <w:r w:rsidR="00C45B00" w:rsidRPr="006339AE">
              <w:rPr>
                <w:rStyle w:val="FootnoteReference"/>
                <w:lang w:val="en-US"/>
              </w:rPr>
              <w:footnoteReference w:id="14"/>
            </w:r>
          </w:p>
          <w:p w14:paraId="7422745A" w14:textId="0E7A037B" w:rsidR="008413E5" w:rsidRPr="00873EC6" w:rsidRDefault="67A02DC6" w:rsidP="00873EC6">
            <w:pPr>
              <w:pStyle w:val="ListBullet"/>
              <w:cnfStyle w:val="000000100000" w:firstRow="0" w:lastRow="0" w:firstColumn="0" w:lastColumn="0" w:oddVBand="0" w:evenVBand="0" w:oddHBand="1" w:evenHBand="0" w:firstRowFirstColumn="0" w:firstRowLastColumn="0" w:lastRowFirstColumn="0" w:lastRowLastColumn="0"/>
              <w:rPr>
                <w:lang w:val="en-US"/>
              </w:rPr>
            </w:pPr>
            <w:r>
              <w:t xml:space="preserve">Two child benefits </w:t>
            </w:r>
            <w:proofErr w:type="gramStart"/>
            <w:r>
              <w:t>cap</w:t>
            </w:r>
            <w:proofErr w:type="gramEnd"/>
          </w:p>
        </w:tc>
      </w:tr>
    </w:tbl>
    <w:p w14:paraId="6DF76765" w14:textId="0966CB91" w:rsidR="00012074" w:rsidRDefault="00012074" w:rsidP="00012074">
      <w:pPr>
        <w:pStyle w:val="BodyText"/>
        <w:rPr>
          <w:lang w:val="en-US"/>
        </w:rPr>
      </w:pPr>
    </w:p>
    <w:tbl>
      <w:tblPr>
        <w:tblStyle w:val="ListTable3-Accent2"/>
        <w:tblW w:w="0" w:type="auto"/>
        <w:tblLook w:val="04A0" w:firstRow="1" w:lastRow="0" w:firstColumn="1" w:lastColumn="0" w:noHBand="0" w:noVBand="1"/>
      </w:tblPr>
      <w:tblGrid>
        <w:gridCol w:w="4814"/>
        <w:gridCol w:w="4814"/>
      </w:tblGrid>
      <w:tr w:rsidR="00652781" w14:paraId="508CC17E" w14:textId="77777777" w:rsidTr="4091D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Pr>
          <w:p w14:paraId="66A7DB16" w14:textId="7CF7A33C" w:rsidR="00652781" w:rsidRPr="00915BF0" w:rsidRDefault="05C31417" w:rsidP="00915BF0">
            <w:pPr>
              <w:pStyle w:val="BodyText"/>
              <w:jc w:val="center"/>
              <w:rPr>
                <w:lang w:val="en-US"/>
              </w:rPr>
            </w:pPr>
            <w:r>
              <w:t>Those experiencing or at risk of homelessness</w:t>
            </w:r>
          </w:p>
        </w:tc>
      </w:tr>
      <w:tr w:rsidR="00EB01CE" w14:paraId="0B231E08" w14:textId="77777777" w:rsidTr="4091D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7041C33" w14:textId="77777777" w:rsidR="00EB01CE" w:rsidRDefault="6B83C3B7" w:rsidP="00012074">
            <w:pPr>
              <w:pStyle w:val="BodyText"/>
              <w:rPr>
                <w:b w:val="0"/>
                <w:bCs w:val="0"/>
                <w:lang w:val="en-US"/>
              </w:rPr>
            </w:pPr>
            <w:r>
              <w:t>Current situation</w:t>
            </w:r>
          </w:p>
          <w:p w14:paraId="78749CA5" w14:textId="2FC64857" w:rsidR="00DB5B59" w:rsidRDefault="0F82D7CB" w:rsidP="00990461">
            <w:pPr>
              <w:pStyle w:val="BodyText"/>
              <w:numPr>
                <w:ilvl w:val="0"/>
                <w:numId w:val="10"/>
              </w:numPr>
              <w:rPr>
                <w:lang w:val="en-US"/>
              </w:rPr>
            </w:pPr>
            <w:r>
              <w:rPr>
                <w:b w:val="0"/>
                <w:bCs w:val="0"/>
                <w:lang w:val="en-US"/>
              </w:rPr>
              <w:t>There are 1.1million people on the waiting list for social housing</w:t>
            </w:r>
            <w:r w:rsidR="001A759B">
              <w:rPr>
                <w:rStyle w:val="FootnoteReference"/>
                <w:b w:val="0"/>
                <w:bCs w:val="0"/>
                <w:lang w:val="en-US"/>
              </w:rPr>
              <w:footnoteReference w:id="15"/>
            </w:r>
          </w:p>
          <w:p w14:paraId="5E7F7128" w14:textId="0F794AF0" w:rsidR="00EF1CB7" w:rsidRDefault="0F82D7CB" w:rsidP="00990461">
            <w:pPr>
              <w:pStyle w:val="BodyText"/>
              <w:numPr>
                <w:ilvl w:val="0"/>
                <w:numId w:val="10"/>
              </w:numPr>
              <w:rPr>
                <w:lang w:val="en-US"/>
              </w:rPr>
            </w:pPr>
            <w:r>
              <w:rPr>
                <w:b w:val="0"/>
                <w:bCs w:val="0"/>
                <w:lang w:val="en-US"/>
              </w:rPr>
              <w:t>Homelessness increased by 7% between 2019/20 and 2020/21</w:t>
            </w:r>
            <w:r w:rsidR="00357C4B">
              <w:rPr>
                <w:rStyle w:val="FootnoteReference"/>
                <w:b w:val="0"/>
                <w:bCs w:val="0"/>
                <w:lang w:val="en-US"/>
              </w:rPr>
              <w:footnoteReference w:id="16"/>
            </w:r>
          </w:p>
          <w:p w14:paraId="06A0E98A" w14:textId="2A77CFEF" w:rsidR="00EF1CB7" w:rsidRDefault="0F82D7CB" w:rsidP="00990461">
            <w:pPr>
              <w:pStyle w:val="BodyText"/>
              <w:numPr>
                <w:ilvl w:val="0"/>
                <w:numId w:val="10"/>
              </w:numPr>
              <w:rPr>
                <w:lang w:val="en-US"/>
              </w:rPr>
            </w:pPr>
            <w:r>
              <w:rPr>
                <w:b w:val="0"/>
                <w:bCs w:val="0"/>
                <w:lang w:val="en-US"/>
              </w:rPr>
              <w:t>7% of private tenants were in arrears in May 2021 (four percentage points higher than in 2019)</w:t>
            </w:r>
            <w:r w:rsidR="003D60C9">
              <w:rPr>
                <w:rStyle w:val="FootnoteReference"/>
                <w:b w:val="0"/>
                <w:bCs w:val="0"/>
                <w:lang w:val="en-US"/>
              </w:rPr>
              <w:footnoteReference w:id="17"/>
            </w:r>
          </w:p>
          <w:p w14:paraId="42E7EB32" w14:textId="38D70C69" w:rsidR="00435E1E" w:rsidRPr="00EB2879" w:rsidRDefault="3340DE65" w:rsidP="00990461">
            <w:pPr>
              <w:pStyle w:val="BodyText"/>
              <w:numPr>
                <w:ilvl w:val="0"/>
                <w:numId w:val="10"/>
              </w:numPr>
              <w:rPr>
                <w:lang w:val="en-US"/>
              </w:rPr>
            </w:pPr>
            <w:r>
              <w:rPr>
                <w:b w:val="0"/>
                <w:bCs w:val="0"/>
                <w:lang w:val="en-US"/>
              </w:rPr>
              <w:t>22% of households at risk of homelessness had at least one person in work</w:t>
            </w:r>
            <w:r w:rsidR="006259D6">
              <w:rPr>
                <w:rStyle w:val="FootnoteReference"/>
                <w:b w:val="0"/>
                <w:bCs w:val="0"/>
                <w:lang w:val="en-US"/>
              </w:rPr>
              <w:footnoteReference w:id="18"/>
            </w:r>
          </w:p>
        </w:tc>
        <w:tc>
          <w:tcPr>
            <w:tcW w:w="4814" w:type="dxa"/>
          </w:tcPr>
          <w:p w14:paraId="2B8BCB42" w14:textId="77777777" w:rsidR="00EB01CE" w:rsidRDefault="6B83C3B7"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r w:rsidRPr="4091DAC8">
              <w:rPr>
                <w:b/>
                <w:bCs/>
              </w:rPr>
              <w:t>Causes</w:t>
            </w:r>
          </w:p>
          <w:p w14:paraId="56810CB7" w14:textId="5F64C4D8" w:rsidR="00DB5B59" w:rsidRPr="00DB5B59" w:rsidRDefault="6EBE8E4F" w:rsidP="00990461">
            <w:pPr>
              <w:pStyle w:val="BodyText"/>
              <w:numPr>
                <w:ilvl w:val="0"/>
                <w:numId w:val="9"/>
              </w:numPr>
              <w:cnfStyle w:val="000000100000" w:firstRow="0" w:lastRow="0" w:firstColumn="0" w:lastColumn="0" w:oddVBand="0" w:evenVBand="0" w:oddHBand="1" w:evenHBand="0" w:firstRowFirstColumn="0" w:firstRowLastColumn="0" w:lastRowFirstColumn="0" w:lastRowLastColumn="0"/>
              <w:rPr>
                <w:lang w:val="en-US"/>
              </w:rPr>
            </w:pPr>
            <w:r>
              <w:t>Rising cost of living set against low pay and deterioration of benefits including Local Housing Allowance</w:t>
            </w:r>
          </w:p>
          <w:p w14:paraId="2680EA97" w14:textId="77777777" w:rsidR="00DB5B59" w:rsidRPr="00DB5B59" w:rsidRDefault="6EBE8E4F" w:rsidP="00990461">
            <w:pPr>
              <w:pStyle w:val="BodyText"/>
              <w:numPr>
                <w:ilvl w:val="0"/>
                <w:numId w:val="9"/>
              </w:numPr>
              <w:cnfStyle w:val="000000100000" w:firstRow="0" w:lastRow="0" w:firstColumn="0" w:lastColumn="0" w:oddVBand="0" w:evenVBand="0" w:oddHBand="1" w:evenHBand="0" w:firstRowFirstColumn="0" w:firstRowLastColumn="0" w:lastRowFirstColumn="0" w:lastRowLastColumn="0"/>
              <w:rPr>
                <w:lang w:val="en-US"/>
              </w:rPr>
            </w:pPr>
            <w:r>
              <w:t>Lack of investment in social housing</w:t>
            </w:r>
          </w:p>
          <w:p w14:paraId="5636B0A2" w14:textId="406D1420" w:rsidR="00DB5B59" w:rsidRPr="00EB2879" w:rsidRDefault="6EBE8E4F" w:rsidP="00990461">
            <w:pPr>
              <w:pStyle w:val="BodyText"/>
              <w:numPr>
                <w:ilvl w:val="0"/>
                <w:numId w:val="9"/>
              </w:numPr>
              <w:cnfStyle w:val="000000100000" w:firstRow="0" w:lastRow="0" w:firstColumn="0" w:lastColumn="0" w:oddVBand="0" w:evenVBand="0" w:oddHBand="1" w:evenHBand="0" w:firstRowFirstColumn="0" w:firstRowLastColumn="0" w:lastRowFirstColumn="0" w:lastRowLastColumn="0"/>
              <w:rPr>
                <w:b/>
                <w:bCs/>
                <w:lang w:val="en-US"/>
              </w:rPr>
            </w:pPr>
            <w:r>
              <w:t>End of the Covid-19 eviction ban</w:t>
            </w:r>
            <w:r w:rsidRPr="4091DAC8">
              <w:rPr>
                <w:b/>
                <w:bCs/>
              </w:rPr>
              <w:t xml:space="preserve"> </w:t>
            </w:r>
          </w:p>
        </w:tc>
      </w:tr>
    </w:tbl>
    <w:p w14:paraId="70192C76" w14:textId="66ECAA70" w:rsidR="00012074" w:rsidRDefault="00012074" w:rsidP="00012074">
      <w:pPr>
        <w:pStyle w:val="BodyText"/>
        <w:rPr>
          <w:lang w:val="en-US"/>
        </w:rPr>
      </w:pPr>
    </w:p>
    <w:tbl>
      <w:tblPr>
        <w:tblStyle w:val="ListTable3-Accent3"/>
        <w:tblW w:w="0" w:type="auto"/>
        <w:tblLook w:val="04A0" w:firstRow="1" w:lastRow="0" w:firstColumn="1" w:lastColumn="0" w:noHBand="0" w:noVBand="1"/>
      </w:tblPr>
      <w:tblGrid>
        <w:gridCol w:w="4814"/>
        <w:gridCol w:w="4814"/>
      </w:tblGrid>
      <w:tr w:rsidR="001B64C0" w14:paraId="3D02F3F9" w14:textId="77777777" w:rsidTr="4091D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Pr>
          <w:p w14:paraId="787BB606" w14:textId="6A699AE3" w:rsidR="001B64C0" w:rsidRPr="00AE2881" w:rsidRDefault="3B0F0CB5" w:rsidP="001B64C0">
            <w:pPr>
              <w:pStyle w:val="BodyText"/>
              <w:jc w:val="center"/>
              <w:rPr>
                <w:lang w:val="en-US"/>
              </w:rPr>
            </w:pPr>
            <w:r>
              <w:lastRenderedPageBreak/>
              <w:t>Care leavers</w:t>
            </w:r>
          </w:p>
        </w:tc>
      </w:tr>
      <w:tr w:rsidR="001B64C0" w14:paraId="4526451C" w14:textId="77777777" w:rsidTr="4091D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F79E92B" w14:textId="77777777" w:rsidR="001B64C0" w:rsidRDefault="14ACB60D" w:rsidP="00012074">
            <w:pPr>
              <w:pStyle w:val="BodyText"/>
              <w:rPr>
                <w:b w:val="0"/>
                <w:bCs w:val="0"/>
                <w:lang w:val="en-US"/>
              </w:rPr>
            </w:pPr>
            <w:r>
              <w:t>Current situation</w:t>
            </w:r>
          </w:p>
          <w:p w14:paraId="6BCB345B" w14:textId="1EACB632" w:rsidR="003F0B8C" w:rsidRPr="00E82EAB" w:rsidRDefault="14ACB60D" w:rsidP="00990461">
            <w:pPr>
              <w:pStyle w:val="BodyText"/>
              <w:numPr>
                <w:ilvl w:val="0"/>
                <w:numId w:val="11"/>
              </w:numPr>
              <w:rPr>
                <w:lang w:val="en-US"/>
              </w:rPr>
            </w:pPr>
            <w:r w:rsidRPr="002D7068">
              <w:rPr>
                <w:b w:val="0"/>
                <w:bCs w:val="0"/>
                <w:lang w:val="en-US"/>
              </w:rPr>
              <w:t xml:space="preserve">Young care leavers disproportionately experience homelessness, loneliness, </w:t>
            </w:r>
            <w:proofErr w:type="gramStart"/>
            <w:r w:rsidRPr="00E82EAB">
              <w:rPr>
                <w:b w:val="0"/>
                <w:bCs w:val="0"/>
                <w:lang w:val="en-US"/>
              </w:rPr>
              <w:t>unemployment</w:t>
            </w:r>
            <w:proofErr w:type="gramEnd"/>
            <w:r w:rsidRPr="00E82EAB">
              <w:rPr>
                <w:b w:val="0"/>
                <w:bCs w:val="0"/>
                <w:lang w:val="en-US"/>
              </w:rPr>
              <w:t xml:space="preserve"> and poverty</w:t>
            </w:r>
            <w:r w:rsidR="00AE2881" w:rsidRPr="00E82EAB">
              <w:rPr>
                <w:rStyle w:val="FootnoteReference"/>
                <w:b w:val="0"/>
                <w:bCs w:val="0"/>
                <w:lang w:val="en-US"/>
              </w:rPr>
              <w:footnoteReference w:id="19"/>
            </w:r>
          </w:p>
          <w:p w14:paraId="35567199" w14:textId="1A2573B3" w:rsidR="003F0B8C" w:rsidRPr="003F0B8C" w:rsidRDefault="14ACB60D" w:rsidP="00990461">
            <w:pPr>
              <w:pStyle w:val="BodyText"/>
              <w:numPr>
                <w:ilvl w:val="0"/>
                <w:numId w:val="11"/>
              </w:numPr>
              <w:rPr>
                <w:b w:val="0"/>
                <w:bCs w:val="0"/>
                <w:lang w:val="en-US"/>
              </w:rPr>
            </w:pPr>
            <w:r w:rsidRPr="00E82EAB">
              <w:rPr>
                <w:b w:val="0"/>
                <w:bCs w:val="0"/>
                <w:lang w:val="en-US"/>
              </w:rPr>
              <w:t>41% of care leavers are not in education, employment</w:t>
            </w:r>
            <w:r w:rsidR="778F5182" w:rsidRPr="00E82EAB">
              <w:rPr>
                <w:b w:val="0"/>
                <w:bCs w:val="0"/>
                <w:lang w:val="en-US"/>
              </w:rPr>
              <w:t>,</w:t>
            </w:r>
            <w:r w:rsidRPr="00E82EAB">
              <w:rPr>
                <w:b w:val="0"/>
                <w:bCs w:val="0"/>
                <w:lang w:val="en-US"/>
              </w:rPr>
              <w:t xml:space="preserve"> or training on their 19</w:t>
            </w:r>
            <w:r w:rsidRPr="00E82EAB">
              <w:rPr>
                <w:b w:val="0"/>
                <w:bCs w:val="0"/>
                <w:vertAlign w:val="superscript"/>
                <w:lang w:val="en-US"/>
              </w:rPr>
              <w:t>th</w:t>
            </w:r>
            <w:r w:rsidRPr="00E82EAB">
              <w:rPr>
                <w:b w:val="0"/>
                <w:bCs w:val="0"/>
                <w:lang w:val="en-US"/>
              </w:rPr>
              <w:t xml:space="preserve"> birthday</w:t>
            </w:r>
            <w:r w:rsidR="00590FE6" w:rsidRPr="00E82EAB">
              <w:rPr>
                <w:rStyle w:val="FootnoteReference"/>
                <w:b w:val="0"/>
                <w:bCs w:val="0"/>
                <w:lang w:val="en-US"/>
              </w:rPr>
              <w:footnoteReference w:id="20"/>
            </w:r>
          </w:p>
        </w:tc>
        <w:tc>
          <w:tcPr>
            <w:tcW w:w="4814" w:type="dxa"/>
          </w:tcPr>
          <w:p w14:paraId="5563A3E9" w14:textId="77777777" w:rsidR="001B64C0" w:rsidRDefault="14ACB60D"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r w:rsidRPr="4091DAC8">
              <w:rPr>
                <w:b/>
                <w:bCs/>
              </w:rPr>
              <w:t>Causes</w:t>
            </w:r>
          </w:p>
          <w:p w14:paraId="1AAD11E2" w14:textId="4D8CCB4D" w:rsidR="00D9054E" w:rsidRDefault="29D71D06" w:rsidP="00D9054E">
            <w:pPr>
              <w:pStyle w:val="ListBullet"/>
              <w:cnfStyle w:val="000000100000" w:firstRow="0" w:lastRow="0" w:firstColumn="0" w:lastColumn="0" w:oddVBand="0" w:evenVBand="0" w:oddHBand="1" w:evenHBand="0" w:firstRowFirstColumn="0" w:firstRowLastColumn="0" w:lastRowFirstColumn="0" w:lastRowLastColumn="0"/>
              <w:rPr>
                <w:lang w:val="en-US"/>
              </w:rPr>
            </w:pPr>
            <w:r>
              <w:rPr>
                <w:lang w:val="en-US"/>
              </w:rPr>
              <w:t xml:space="preserve">From 2015 to 2020, benefits cuts led to increased child poverty, </w:t>
            </w:r>
            <w:r w:rsidR="57EE7C51">
              <w:rPr>
                <w:lang w:val="en-US"/>
              </w:rPr>
              <w:t>which led to 10,000 more children in care</w:t>
            </w:r>
            <w:r w:rsidR="00C02620">
              <w:rPr>
                <w:rStyle w:val="FootnoteReference"/>
                <w:lang w:val="en-US"/>
              </w:rPr>
              <w:footnoteReference w:id="21"/>
            </w:r>
          </w:p>
          <w:p w14:paraId="405FF6EF" w14:textId="77777777" w:rsidR="00A25A27" w:rsidRDefault="7AE89050" w:rsidP="00D9054E">
            <w:pPr>
              <w:pStyle w:val="ListBullet"/>
              <w:cnfStyle w:val="000000100000" w:firstRow="0" w:lastRow="0" w:firstColumn="0" w:lastColumn="0" w:oddVBand="0" w:evenVBand="0" w:oddHBand="1" w:evenHBand="0" w:firstRowFirstColumn="0" w:firstRowLastColumn="0" w:lastRowFirstColumn="0" w:lastRowLastColumn="0"/>
              <w:rPr>
                <w:lang w:val="en-US"/>
              </w:rPr>
            </w:pPr>
            <w:r>
              <w:t>Lack of family support networks</w:t>
            </w:r>
          </w:p>
          <w:p w14:paraId="7461D946" w14:textId="77777777" w:rsidR="00A25A27" w:rsidRDefault="7AE89050" w:rsidP="00D9054E">
            <w:pPr>
              <w:pStyle w:val="ListBullet"/>
              <w:cnfStyle w:val="000000100000" w:firstRow="0" w:lastRow="0" w:firstColumn="0" w:lastColumn="0" w:oddVBand="0" w:evenVBand="0" w:oddHBand="1" w:evenHBand="0" w:firstRowFirstColumn="0" w:firstRowLastColumn="0" w:lastRowFirstColumn="0" w:lastRowLastColumn="0"/>
              <w:rPr>
                <w:lang w:val="en-US"/>
              </w:rPr>
            </w:pPr>
            <w:r>
              <w:t>Early age of independence</w:t>
            </w:r>
          </w:p>
          <w:p w14:paraId="5050C1C3" w14:textId="3276E5A0" w:rsidR="00A25A27" w:rsidRPr="003F0B8C" w:rsidRDefault="7AE89050" w:rsidP="00D9054E">
            <w:pPr>
              <w:pStyle w:val="ListBullet"/>
              <w:cnfStyle w:val="000000100000" w:firstRow="0" w:lastRow="0" w:firstColumn="0" w:lastColumn="0" w:oddVBand="0" w:evenVBand="0" w:oddHBand="1" w:evenHBand="0" w:firstRowFirstColumn="0" w:firstRowLastColumn="0" w:lastRowFirstColumn="0" w:lastRowLastColumn="0"/>
              <w:rPr>
                <w:lang w:val="en-US"/>
              </w:rPr>
            </w:pPr>
            <w:r>
              <w:t>Disrupted education</w:t>
            </w:r>
          </w:p>
        </w:tc>
      </w:tr>
    </w:tbl>
    <w:p w14:paraId="64E26FD9" w14:textId="77777777" w:rsidR="001B64C0" w:rsidRDefault="001B64C0" w:rsidP="00012074">
      <w:pPr>
        <w:pStyle w:val="BodyText"/>
        <w:rPr>
          <w:lang w:val="en-US"/>
        </w:rPr>
      </w:pPr>
    </w:p>
    <w:tbl>
      <w:tblPr>
        <w:tblStyle w:val="ListTable3-Accent5"/>
        <w:tblW w:w="0" w:type="auto"/>
        <w:tblLook w:val="04A0" w:firstRow="1" w:lastRow="0" w:firstColumn="1" w:lastColumn="0" w:noHBand="0" w:noVBand="1"/>
      </w:tblPr>
      <w:tblGrid>
        <w:gridCol w:w="4814"/>
        <w:gridCol w:w="4814"/>
      </w:tblGrid>
      <w:tr w:rsidR="001B64C0" w14:paraId="4920067C" w14:textId="77777777" w:rsidTr="4091D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Pr>
          <w:p w14:paraId="1CF048A8" w14:textId="4C0DA40E" w:rsidR="001B64C0" w:rsidRPr="00DB450C" w:rsidRDefault="3B0F0CB5" w:rsidP="001B64C0">
            <w:pPr>
              <w:pStyle w:val="BodyText"/>
              <w:jc w:val="center"/>
              <w:rPr>
                <w:lang w:val="en-US"/>
              </w:rPr>
            </w:pPr>
            <w:r>
              <w:t>Women</w:t>
            </w:r>
          </w:p>
        </w:tc>
      </w:tr>
      <w:tr w:rsidR="001B64C0" w14:paraId="0C8C80D1" w14:textId="77777777" w:rsidTr="4091D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67AD94E" w14:textId="77777777" w:rsidR="001B64C0" w:rsidRDefault="3C09F81D" w:rsidP="0093231C">
            <w:pPr>
              <w:pStyle w:val="BodyText"/>
              <w:rPr>
                <w:b w:val="0"/>
                <w:bCs w:val="0"/>
                <w:lang w:val="en-US"/>
              </w:rPr>
            </w:pPr>
            <w:r>
              <w:t>Current situation</w:t>
            </w:r>
          </w:p>
          <w:p w14:paraId="7FA3B734" w14:textId="7F917A5F" w:rsidR="00C727A9" w:rsidRPr="00C727A9" w:rsidRDefault="6C05C3E6" w:rsidP="00A75DA9">
            <w:pPr>
              <w:pStyle w:val="ListParagraph"/>
              <w:numPr>
                <w:ilvl w:val="0"/>
                <w:numId w:val="12"/>
              </w:numPr>
              <w:spacing w:line="360" w:lineRule="auto"/>
              <w:rPr>
                <w:b w:val="0"/>
                <w:bCs w:val="0"/>
                <w:sz w:val="22"/>
                <w:szCs w:val="22"/>
                <w:lang w:val="en-US"/>
              </w:rPr>
            </w:pPr>
            <w:r w:rsidRPr="7B2CAE32">
              <w:rPr>
                <w:b w:val="0"/>
                <w:bCs w:val="0"/>
                <w:sz w:val="22"/>
                <w:szCs w:val="22"/>
                <w:lang w:val="en-US"/>
              </w:rPr>
              <w:t>22% of women have a persistent low income, compared to approximately 14% of men</w:t>
            </w:r>
            <w:r w:rsidR="00C727A9" w:rsidRPr="7B2CAE32">
              <w:rPr>
                <w:rStyle w:val="FootnoteReference"/>
                <w:b w:val="0"/>
                <w:bCs w:val="0"/>
                <w:sz w:val="22"/>
                <w:szCs w:val="22"/>
                <w:lang w:val="en-US"/>
              </w:rPr>
              <w:footnoteReference w:id="22"/>
            </w:r>
            <w:r w:rsidRPr="7B2CAE32">
              <w:rPr>
                <w:b w:val="0"/>
                <w:bCs w:val="0"/>
                <w:sz w:val="22"/>
                <w:szCs w:val="22"/>
                <w:lang w:val="en-US"/>
              </w:rPr>
              <w:t xml:space="preserve">  </w:t>
            </w:r>
          </w:p>
          <w:p w14:paraId="41DEF7B3" w14:textId="7D15D1A3" w:rsidR="008E7049" w:rsidRPr="00933A7A" w:rsidRDefault="5F41F861" w:rsidP="00990461">
            <w:pPr>
              <w:pStyle w:val="BodyText"/>
              <w:numPr>
                <w:ilvl w:val="0"/>
                <w:numId w:val="12"/>
              </w:numPr>
              <w:rPr>
                <w:b w:val="0"/>
                <w:bCs w:val="0"/>
                <w:lang w:val="en-US"/>
              </w:rPr>
            </w:pPr>
            <w:r w:rsidRPr="00933A7A">
              <w:rPr>
                <w:b w:val="0"/>
                <w:bCs w:val="0"/>
                <w:lang w:val="en-US"/>
              </w:rPr>
              <w:t xml:space="preserve">55% of young women surveyed </w:t>
            </w:r>
            <w:r w:rsidR="2BBC1246" w:rsidRPr="00933A7A">
              <w:rPr>
                <w:b w:val="0"/>
                <w:bCs w:val="0"/>
                <w:lang w:val="en-US"/>
              </w:rPr>
              <w:t>by the Young Women’s Trust are unable to work as many hours as they like due to unpaid responsibilities</w:t>
            </w:r>
            <w:r w:rsidR="001A7EF2" w:rsidRPr="7B2CAE32">
              <w:rPr>
                <w:rStyle w:val="FootnoteReference"/>
                <w:b w:val="0"/>
                <w:bCs w:val="0"/>
                <w:lang w:val="en-US"/>
              </w:rPr>
              <w:footnoteReference w:id="23"/>
            </w:r>
          </w:p>
          <w:p w14:paraId="1BC9B937" w14:textId="0BF47D75" w:rsidR="00933A7A" w:rsidRPr="0016627A" w:rsidRDefault="2BBC1246" w:rsidP="00990461">
            <w:pPr>
              <w:pStyle w:val="BodyText"/>
              <w:numPr>
                <w:ilvl w:val="0"/>
                <w:numId w:val="12"/>
              </w:numPr>
              <w:rPr>
                <w:b w:val="0"/>
                <w:bCs w:val="0"/>
                <w:lang w:val="en-US"/>
              </w:rPr>
            </w:pPr>
            <w:r>
              <w:rPr>
                <w:b w:val="0"/>
                <w:bCs w:val="0"/>
                <w:lang w:val="en-US"/>
              </w:rPr>
              <w:t>W</w:t>
            </w:r>
            <w:r w:rsidRPr="00933A7A">
              <w:rPr>
                <w:b w:val="0"/>
                <w:bCs w:val="0"/>
                <w:lang w:val="en-US"/>
              </w:rPr>
              <w:t xml:space="preserve">omen </w:t>
            </w:r>
            <w:r>
              <w:rPr>
                <w:b w:val="0"/>
                <w:bCs w:val="0"/>
                <w:lang w:val="en-US"/>
              </w:rPr>
              <w:t xml:space="preserve">from ethnic minority backgrounds </w:t>
            </w:r>
            <w:r w:rsidRPr="00933A7A">
              <w:rPr>
                <w:b w:val="0"/>
                <w:bCs w:val="0"/>
                <w:lang w:val="en-US"/>
              </w:rPr>
              <w:t xml:space="preserve">are more likely to face persistent poverty and may be more </w:t>
            </w:r>
            <w:r w:rsidRPr="00933A7A">
              <w:rPr>
                <w:b w:val="0"/>
                <w:bCs w:val="0"/>
                <w:lang w:val="en-US"/>
              </w:rPr>
              <w:lastRenderedPageBreak/>
              <w:t>likely to be single parents, to have large families, low paid or unemployed</w:t>
            </w:r>
            <w:r w:rsidR="00933A7A" w:rsidRPr="7B2CAE32">
              <w:rPr>
                <w:rStyle w:val="FootnoteReference"/>
                <w:b w:val="0"/>
                <w:bCs w:val="0"/>
                <w:lang w:val="en-US"/>
              </w:rPr>
              <w:footnoteReference w:id="24"/>
            </w:r>
          </w:p>
          <w:p w14:paraId="6CA59863" w14:textId="131E6795" w:rsidR="0016627A" w:rsidRPr="00933A7A" w:rsidRDefault="63ACF036" w:rsidP="00990461">
            <w:pPr>
              <w:pStyle w:val="BodyText"/>
              <w:numPr>
                <w:ilvl w:val="0"/>
                <w:numId w:val="12"/>
              </w:numPr>
              <w:rPr>
                <w:b w:val="0"/>
                <w:bCs w:val="0"/>
                <w:lang w:val="en-US"/>
              </w:rPr>
            </w:pPr>
            <w:r>
              <w:rPr>
                <w:b w:val="0"/>
                <w:bCs w:val="0"/>
                <w:lang w:val="en-US"/>
              </w:rPr>
              <w:t>70-80% of the users of Lightning (a platform for accessing hardship funds) are women, largely single mothers</w:t>
            </w:r>
            <w:r w:rsidR="0016627A" w:rsidRPr="7B2CAE32">
              <w:rPr>
                <w:rStyle w:val="FootnoteReference"/>
                <w:b w:val="0"/>
                <w:bCs w:val="0"/>
                <w:lang w:val="en-US"/>
              </w:rPr>
              <w:footnoteReference w:id="25"/>
            </w:r>
          </w:p>
        </w:tc>
        <w:tc>
          <w:tcPr>
            <w:tcW w:w="4814" w:type="dxa"/>
          </w:tcPr>
          <w:p w14:paraId="05596CA0" w14:textId="77777777" w:rsidR="001B64C0" w:rsidRDefault="3C09F81D"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r w:rsidRPr="4091DAC8">
              <w:rPr>
                <w:b/>
                <w:bCs/>
              </w:rPr>
              <w:lastRenderedPageBreak/>
              <w:t>Causes</w:t>
            </w:r>
          </w:p>
          <w:p w14:paraId="7E49F29A" w14:textId="77777777" w:rsidR="00883921" w:rsidRPr="0067270D" w:rsidRDefault="7C8440F5" w:rsidP="00990461">
            <w:pPr>
              <w:pStyle w:val="BodyText"/>
              <w:numPr>
                <w:ilvl w:val="0"/>
                <w:numId w:val="12"/>
              </w:numPr>
              <w:cnfStyle w:val="000000100000" w:firstRow="0" w:lastRow="0" w:firstColumn="0" w:lastColumn="0" w:oddVBand="0" w:evenVBand="0" w:oddHBand="1" w:evenHBand="0" w:firstRowFirstColumn="0" w:firstRowLastColumn="0" w:lastRowFirstColumn="0" w:lastRowLastColumn="0"/>
              <w:rPr>
                <w:lang w:val="en-US"/>
              </w:rPr>
            </w:pPr>
            <w:r>
              <w:t>Higher level of unpaid work and caring responsibilities</w:t>
            </w:r>
          </w:p>
          <w:p w14:paraId="202EDB20" w14:textId="77777777" w:rsidR="00A25227" w:rsidRPr="0067270D" w:rsidRDefault="7C8440F5" w:rsidP="00990461">
            <w:pPr>
              <w:pStyle w:val="BodyText"/>
              <w:numPr>
                <w:ilvl w:val="0"/>
                <w:numId w:val="12"/>
              </w:numPr>
              <w:cnfStyle w:val="000000100000" w:firstRow="0" w:lastRow="0" w:firstColumn="0" w:lastColumn="0" w:oddVBand="0" w:evenVBand="0" w:oddHBand="1" w:evenHBand="0" w:firstRowFirstColumn="0" w:firstRowLastColumn="0" w:lastRowFirstColumn="0" w:lastRowLastColumn="0"/>
              <w:rPr>
                <w:lang w:val="en-US"/>
              </w:rPr>
            </w:pPr>
            <w:r>
              <w:t>Fear of engaging with support and having children taken away</w:t>
            </w:r>
          </w:p>
          <w:p w14:paraId="389C0D8B" w14:textId="77777777" w:rsidR="00A25227" w:rsidRPr="0067270D" w:rsidRDefault="64AEF0C6" w:rsidP="00990461">
            <w:pPr>
              <w:pStyle w:val="BodyText"/>
              <w:numPr>
                <w:ilvl w:val="0"/>
                <w:numId w:val="12"/>
              </w:numPr>
              <w:cnfStyle w:val="000000100000" w:firstRow="0" w:lastRow="0" w:firstColumn="0" w:lastColumn="0" w:oddVBand="0" w:evenVBand="0" w:oddHBand="1" w:evenHBand="0" w:firstRowFirstColumn="0" w:firstRowLastColumn="0" w:lastRowFirstColumn="0" w:lastRowLastColumn="0"/>
              <w:rPr>
                <w:lang w:val="en-US"/>
              </w:rPr>
            </w:pPr>
            <w:r>
              <w:t xml:space="preserve">Entrenched lower income </w:t>
            </w:r>
            <w:proofErr w:type="gramStart"/>
            <w:r>
              <w:t>limits</w:t>
            </w:r>
            <w:proofErr w:type="gramEnd"/>
            <w:r>
              <w:t xml:space="preserve"> ability to hold assets and build savings</w:t>
            </w:r>
          </w:p>
          <w:p w14:paraId="346F7230" w14:textId="3F4136E5" w:rsidR="0067270D" w:rsidRPr="00A25227" w:rsidRDefault="2BF96D31" w:rsidP="23000598">
            <w:pPr>
              <w:pStyle w:val="BodyText"/>
              <w:numPr>
                <w:ilvl w:val="0"/>
                <w:numId w:val="12"/>
              </w:numPr>
              <w:cnfStyle w:val="000000100000" w:firstRow="0" w:lastRow="0" w:firstColumn="0" w:lastColumn="0" w:oddVBand="0" w:evenVBand="0" w:oddHBand="1" w:evenHBand="0" w:firstRowFirstColumn="0" w:firstRowLastColumn="0" w:lastRowFirstColumn="0" w:lastRowLastColumn="0"/>
              <w:rPr>
                <w:b/>
                <w:bCs/>
                <w:lang w:val="en-US"/>
              </w:rPr>
            </w:pPr>
            <w:r>
              <w:t>A higher proportion of women rate themselves as less confident about finances</w:t>
            </w:r>
          </w:p>
          <w:p w14:paraId="27D409E6" w14:textId="022E6744" w:rsidR="0067270D" w:rsidRPr="00A25227" w:rsidRDefault="5972CF8E" w:rsidP="23000598">
            <w:pPr>
              <w:pStyle w:val="BodyText"/>
              <w:numPr>
                <w:ilvl w:val="0"/>
                <w:numId w:val="12"/>
              </w:numPr>
              <w:cnfStyle w:val="000000100000" w:firstRow="0" w:lastRow="0" w:firstColumn="0" w:lastColumn="0" w:oddVBand="0" w:evenVBand="0" w:oddHBand="1" w:evenHBand="0" w:firstRowFirstColumn="0" w:firstRowLastColumn="0" w:lastRowFirstColumn="0" w:lastRowLastColumn="0"/>
              <w:rPr>
                <w:b/>
                <w:bCs/>
                <w:lang w:val="en-US"/>
              </w:rPr>
            </w:pPr>
            <w:r>
              <w:lastRenderedPageBreak/>
              <w:t>Violence against women and girls incorporating economic abuse that leaves individuals vulnerable</w:t>
            </w:r>
          </w:p>
        </w:tc>
      </w:tr>
    </w:tbl>
    <w:p w14:paraId="3C3DB7D1" w14:textId="77777777" w:rsidR="001B64C0" w:rsidRDefault="001B64C0" w:rsidP="00012074">
      <w:pPr>
        <w:pStyle w:val="BodyText"/>
        <w:rPr>
          <w:lang w:val="en-US"/>
        </w:rPr>
      </w:pPr>
    </w:p>
    <w:tbl>
      <w:tblPr>
        <w:tblStyle w:val="ListTable3-Accent6"/>
        <w:tblW w:w="0" w:type="auto"/>
        <w:tblLook w:val="04A0" w:firstRow="1" w:lastRow="0" w:firstColumn="1" w:lastColumn="0" w:noHBand="0" w:noVBand="1"/>
      </w:tblPr>
      <w:tblGrid>
        <w:gridCol w:w="4814"/>
        <w:gridCol w:w="4814"/>
      </w:tblGrid>
      <w:tr w:rsidR="001B64C0" w14:paraId="4D75B42E" w14:textId="77777777" w:rsidTr="4091D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Pr>
          <w:p w14:paraId="0711B5BC" w14:textId="3D3E9C8A" w:rsidR="001B64C0" w:rsidRPr="00024BC0" w:rsidRDefault="3B0F0CB5" w:rsidP="001B64C0">
            <w:pPr>
              <w:pStyle w:val="BodyText"/>
              <w:jc w:val="center"/>
              <w:rPr>
                <w:lang w:val="en-US"/>
              </w:rPr>
            </w:pPr>
            <w:r>
              <w:t>Disabled people</w:t>
            </w:r>
          </w:p>
        </w:tc>
      </w:tr>
      <w:tr w:rsidR="001B64C0" w14:paraId="607B33FB" w14:textId="77777777" w:rsidTr="4091D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72A15676" w14:textId="645F9230" w:rsidR="00D53AE9" w:rsidRPr="00D53AE9" w:rsidRDefault="653AABFB" w:rsidP="00D53AE9">
            <w:pPr>
              <w:pStyle w:val="BodyText"/>
              <w:rPr>
                <w:lang w:eastAsia="en-GB"/>
              </w:rPr>
            </w:pPr>
            <w:r>
              <w:t>Current situation</w:t>
            </w:r>
          </w:p>
          <w:p w14:paraId="5DE58462" w14:textId="6C916197" w:rsidR="00125418" w:rsidRPr="00C66EDD" w:rsidRDefault="5751F5AA" w:rsidP="00990461">
            <w:pPr>
              <w:pStyle w:val="BodyText"/>
              <w:numPr>
                <w:ilvl w:val="0"/>
                <w:numId w:val="14"/>
              </w:numPr>
              <w:rPr>
                <w:b w:val="0"/>
                <w:bCs w:val="0"/>
                <w:lang w:eastAsia="en-GB"/>
              </w:rPr>
            </w:pPr>
            <w:r w:rsidRPr="00C66EDD">
              <w:rPr>
                <w:b w:val="0"/>
                <w:bCs w:val="0"/>
                <w:lang w:eastAsia="en-GB"/>
              </w:rPr>
              <w:t>Nearly half of all individuals in poverty live in a household where someone is disabled, and a quarter of unpaid carers live in poverty. In total, a quarter of working age disabled people are in deep poverty</w:t>
            </w:r>
            <w:r w:rsidR="000F15B7">
              <w:rPr>
                <w:rStyle w:val="FootnoteReference"/>
                <w:b w:val="0"/>
                <w:bCs w:val="0"/>
                <w:lang w:eastAsia="en-GB"/>
              </w:rPr>
              <w:footnoteReference w:id="26"/>
            </w:r>
            <w:r w:rsidRPr="00C66EDD">
              <w:rPr>
                <w:b w:val="0"/>
                <w:bCs w:val="0"/>
                <w:lang w:eastAsia="en-GB"/>
              </w:rPr>
              <w:t>.</w:t>
            </w:r>
          </w:p>
          <w:p w14:paraId="49147A12" w14:textId="724576CC" w:rsidR="00125418" w:rsidRPr="00C66EDD" w:rsidRDefault="5751F5AA" w:rsidP="00990461">
            <w:pPr>
              <w:pStyle w:val="BodyText"/>
              <w:numPr>
                <w:ilvl w:val="0"/>
                <w:numId w:val="14"/>
              </w:numPr>
              <w:rPr>
                <w:b w:val="0"/>
                <w:bCs w:val="0"/>
                <w:lang w:eastAsia="en-GB"/>
              </w:rPr>
            </w:pPr>
            <w:r w:rsidRPr="00C66EDD">
              <w:rPr>
                <w:b w:val="0"/>
                <w:bCs w:val="0"/>
                <w:lang w:eastAsia="en-GB"/>
              </w:rPr>
              <w:t>Two thirds of disabled people that live alone live in poverty</w:t>
            </w:r>
            <w:r w:rsidR="00170AEA">
              <w:rPr>
                <w:rStyle w:val="FootnoteReference"/>
                <w:b w:val="0"/>
                <w:bCs w:val="0"/>
                <w:lang w:eastAsia="en-GB"/>
              </w:rPr>
              <w:footnoteReference w:id="27"/>
            </w:r>
            <w:r w:rsidRPr="00C66EDD">
              <w:rPr>
                <w:b w:val="0"/>
                <w:bCs w:val="0"/>
                <w:lang w:eastAsia="en-GB"/>
              </w:rPr>
              <w:t>.</w:t>
            </w:r>
          </w:p>
          <w:p w14:paraId="378E1C1B" w14:textId="77777777" w:rsidR="001B64C0" w:rsidRDefault="001B64C0" w:rsidP="00012074">
            <w:pPr>
              <w:pStyle w:val="BodyText"/>
              <w:rPr>
                <w:lang w:val="en-US"/>
              </w:rPr>
            </w:pPr>
          </w:p>
        </w:tc>
        <w:tc>
          <w:tcPr>
            <w:tcW w:w="4814" w:type="dxa"/>
          </w:tcPr>
          <w:p w14:paraId="3B362F7E" w14:textId="33231CE0" w:rsidR="00D53AE9" w:rsidRPr="00D53AE9" w:rsidRDefault="653AABFB" w:rsidP="00D53AE9">
            <w:pPr>
              <w:pStyle w:val="BodyText"/>
              <w:cnfStyle w:val="000000100000" w:firstRow="0" w:lastRow="0" w:firstColumn="0" w:lastColumn="0" w:oddVBand="0" w:evenVBand="0" w:oddHBand="1" w:evenHBand="0" w:firstRowFirstColumn="0" w:firstRowLastColumn="0" w:lastRowFirstColumn="0" w:lastRowLastColumn="0"/>
              <w:rPr>
                <w:b/>
                <w:bCs/>
                <w:lang w:eastAsia="en-GB"/>
              </w:rPr>
            </w:pPr>
            <w:r w:rsidRPr="4091DAC8">
              <w:rPr>
                <w:b/>
                <w:bCs/>
              </w:rPr>
              <w:t>Causes</w:t>
            </w:r>
          </w:p>
          <w:p w14:paraId="6FCCD7E9" w14:textId="718A8F02" w:rsidR="00442FE0" w:rsidRPr="003362B0" w:rsidRDefault="164E4F1A" w:rsidP="00990461">
            <w:pPr>
              <w:pStyle w:val="BodyText"/>
              <w:numPr>
                <w:ilvl w:val="0"/>
                <w:numId w:val="13"/>
              </w:numPr>
              <w:cnfStyle w:val="000000100000" w:firstRow="0" w:lastRow="0" w:firstColumn="0" w:lastColumn="0" w:oddVBand="0" w:evenVBand="0" w:oddHBand="1" w:evenHBand="0" w:firstRowFirstColumn="0" w:firstRowLastColumn="0" w:lastRowFirstColumn="0" w:lastRowLastColumn="0"/>
              <w:rPr>
                <w:lang w:eastAsia="en-GB"/>
              </w:rPr>
            </w:pPr>
            <w:r w:rsidRPr="003362B0">
              <w:rPr>
                <w:lang w:eastAsia="en-GB"/>
              </w:rPr>
              <w:t>To enjoy the same standard of life, disabled adults face extra costs of £583 per month</w:t>
            </w:r>
            <w:r w:rsidR="00454CBB">
              <w:rPr>
                <w:rStyle w:val="FootnoteReference"/>
                <w:lang w:eastAsia="en-GB"/>
              </w:rPr>
              <w:footnoteReference w:id="28"/>
            </w:r>
            <w:r w:rsidRPr="003362B0">
              <w:rPr>
                <w:lang w:eastAsia="en-GB"/>
              </w:rPr>
              <w:t> </w:t>
            </w:r>
          </w:p>
          <w:p w14:paraId="2084083F" w14:textId="24425814" w:rsidR="00442FE0" w:rsidRPr="003362B0" w:rsidRDefault="164E4F1A" w:rsidP="00990461">
            <w:pPr>
              <w:pStyle w:val="BodyText"/>
              <w:numPr>
                <w:ilvl w:val="0"/>
                <w:numId w:val="13"/>
              </w:numPr>
              <w:cnfStyle w:val="000000100000" w:firstRow="0" w:lastRow="0" w:firstColumn="0" w:lastColumn="0" w:oddVBand="0" w:evenVBand="0" w:oddHBand="1" w:evenHBand="0" w:firstRowFirstColumn="0" w:firstRowLastColumn="0" w:lastRowFirstColumn="0" w:lastRowLastColumn="0"/>
              <w:rPr>
                <w:lang w:eastAsia="en-GB"/>
              </w:rPr>
            </w:pPr>
            <w:r w:rsidRPr="003362B0">
              <w:rPr>
                <w:lang w:eastAsia="en-GB"/>
              </w:rPr>
              <w:t>One in five faces extra costs of over £1,000 a month, even after welfare payments intended to meet those costs </w:t>
            </w:r>
            <w:r w:rsidR="008A4930">
              <w:rPr>
                <w:rStyle w:val="FootnoteReference"/>
                <w:lang w:eastAsia="en-GB"/>
              </w:rPr>
              <w:footnoteReference w:id="29"/>
            </w:r>
          </w:p>
          <w:p w14:paraId="043D2372" w14:textId="73F00FC0" w:rsidR="00442FE0" w:rsidRDefault="164E4F1A" w:rsidP="00990461">
            <w:pPr>
              <w:pStyle w:val="BodyText"/>
              <w:numPr>
                <w:ilvl w:val="0"/>
                <w:numId w:val="13"/>
              </w:numPr>
              <w:cnfStyle w:val="000000100000" w:firstRow="0" w:lastRow="0" w:firstColumn="0" w:lastColumn="0" w:oddVBand="0" w:evenVBand="0" w:oddHBand="1" w:evenHBand="0" w:firstRowFirstColumn="0" w:firstRowLastColumn="0" w:lastRowFirstColumn="0" w:lastRowLastColumn="0"/>
              <w:rPr>
                <w:lang w:eastAsia="en-GB"/>
              </w:rPr>
            </w:pPr>
            <w:r w:rsidRPr="003362B0">
              <w:rPr>
                <w:lang w:eastAsia="en-GB"/>
              </w:rPr>
              <w:t>Families with disabled children face average extra costs of £581 per month</w:t>
            </w:r>
            <w:r w:rsidR="00230081">
              <w:rPr>
                <w:rStyle w:val="FootnoteReference"/>
                <w:lang w:eastAsia="en-GB"/>
              </w:rPr>
              <w:footnoteReference w:id="30"/>
            </w:r>
            <w:r w:rsidRPr="003362B0">
              <w:rPr>
                <w:lang w:eastAsia="en-GB"/>
              </w:rPr>
              <w:t> </w:t>
            </w:r>
          </w:p>
          <w:p w14:paraId="1BCF8184" w14:textId="049D8EA7" w:rsidR="00442FE0" w:rsidRPr="003362B0" w:rsidRDefault="164E4F1A" w:rsidP="00990461">
            <w:pPr>
              <w:pStyle w:val="BodyText"/>
              <w:numPr>
                <w:ilvl w:val="0"/>
                <w:numId w:val="13"/>
              </w:numPr>
              <w:cnfStyle w:val="000000100000" w:firstRow="0" w:lastRow="0" w:firstColumn="0" w:lastColumn="0" w:oddVBand="0" w:evenVBand="0" w:oddHBand="1" w:evenHBand="0" w:firstRowFirstColumn="0" w:firstRowLastColumn="0" w:lastRowFirstColumn="0" w:lastRowLastColumn="0"/>
              <w:rPr>
                <w:lang w:eastAsia="en-GB"/>
              </w:rPr>
            </w:pPr>
            <w:r w:rsidRPr="003362B0">
              <w:rPr>
                <w:lang w:eastAsia="en-GB"/>
              </w:rPr>
              <w:t xml:space="preserve">There is a significant pay gap for disabled people, seen across every level of qualification: disabled people </w:t>
            </w:r>
            <w:r w:rsidRPr="003362B0">
              <w:rPr>
                <w:lang w:eastAsia="en-GB"/>
              </w:rPr>
              <w:lastRenderedPageBreak/>
              <w:t>are more likely to be under-employed or in low paid jobs</w:t>
            </w:r>
            <w:r w:rsidR="005C2203">
              <w:rPr>
                <w:rStyle w:val="FootnoteReference"/>
                <w:lang w:eastAsia="en-GB"/>
              </w:rPr>
              <w:footnoteReference w:id="31"/>
            </w:r>
            <w:r w:rsidRPr="003362B0">
              <w:rPr>
                <w:lang w:eastAsia="en-GB"/>
              </w:rPr>
              <w:t>. </w:t>
            </w:r>
          </w:p>
          <w:p w14:paraId="02A856EF" w14:textId="121B24C1" w:rsidR="00442FE0" w:rsidRPr="003362B0" w:rsidRDefault="164E4F1A" w:rsidP="00990461">
            <w:pPr>
              <w:pStyle w:val="BodyText"/>
              <w:numPr>
                <w:ilvl w:val="0"/>
                <w:numId w:val="13"/>
              </w:numPr>
              <w:cnfStyle w:val="000000100000" w:firstRow="0" w:lastRow="0" w:firstColumn="0" w:lastColumn="0" w:oddVBand="0" w:evenVBand="0" w:oddHBand="1" w:evenHBand="0" w:firstRowFirstColumn="0" w:firstRowLastColumn="0" w:lastRowFirstColumn="0" w:lastRowLastColumn="0"/>
              <w:rPr>
                <w:lang w:eastAsia="en-GB"/>
              </w:rPr>
            </w:pPr>
            <w:r w:rsidRPr="003362B0">
              <w:rPr>
                <w:lang w:eastAsia="en-GB"/>
              </w:rPr>
              <w:t>Disability benefits in the UK have fallen from around 25% of average earnings to 15%</w:t>
            </w:r>
            <w:r w:rsidR="00230081">
              <w:rPr>
                <w:rStyle w:val="FootnoteReference"/>
                <w:lang w:eastAsia="en-GB"/>
              </w:rPr>
              <w:footnoteReference w:id="32"/>
            </w:r>
            <w:r w:rsidRPr="003362B0">
              <w:rPr>
                <w:lang w:eastAsia="en-GB"/>
              </w:rPr>
              <w:t> </w:t>
            </w:r>
          </w:p>
          <w:p w14:paraId="61D91804" w14:textId="073F8D79" w:rsidR="001B64C0" w:rsidRPr="005E62E7" w:rsidRDefault="29DD5688" w:rsidP="00990461">
            <w:pPr>
              <w:pStyle w:val="BodyText"/>
              <w:numPr>
                <w:ilvl w:val="0"/>
                <w:numId w:val="13"/>
              </w:numPr>
              <w:cnfStyle w:val="000000100000" w:firstRow="0" w:lastRow="0" w:firstColumn="0" w:lastColumn="0" w:oddVBand="0" w:evenVBand="0" w:oddHBand="1" w:evenHBand="0" w:firstRowFirstColumn="0" w:firstRowLastColumn="0" w:lastRowFirstColumn="0" w:lastRowLastColumn="0"/>
              <w:rPr>
                <w:lang w:eastAsia="en-GB"/>
              </w:rPr>
            </w:pPr>
            <w:r>
              <w:rPr>
                <w:lang w:eastAsia="en-GB"/>
              </w:rPr>
              <w:t>Th</w:t>
            </w:r>
            <w:r w:rsidR="164E4F1A" w:rsidRPr="003362B0">
              <w:rPr>
                <w:lang w:eastAsia="en-GB"/>
              </w:rPr>
              <w:t>e employment pay gap for disabled women is 36% (average median gross earnings compared to a non-disabled man), totalling an equivalent earnings difference of £7,020 per year</w:t>
            </w:r>
            <w:r w:rsidR="00D50667">
              <w:rPr>
                <w:rStyle w:val="FootnoteReference"/>
                <w:lang w:eastAsia="en-GB"/>
              </w:rPr>
              <w:footnoteReference w:id="33"/>
            </w:r>
          </w:p>
        </w:tc>
      </w:tr>
    </w:tbl>
    <w:p w14:paraId="63473BD9" w14:textId="42F1E081" w:rsidR="001B64C0" w:rsidRDefault="001B64C0" w:rsidP="00012074">
      <w:pPr>
        <w:pStyle w:val="BodyText"/>
        <w:rPr>
          <w:lang w:val="en-US"/>
        </w:rPr>
      </w:pPr>
    </w:p>
    <w:tbl>
      <w:tblPr>
        <w:tblStyle w:val="ListTable3-Accent1"/>
        <w:tblW w:w="0" w:type="auto"/>
        <w:tblLook w:val="04A0" w:firstRow="1" w:lastRow="0" w:firstColumn="1" w:lastColumn="0" w:noHBand="0" w:noVBand="1"/>
      </w:tblPr>
      <w:tblGrid>
        <w:gridCol w:w="4814"/>
        <w:gridCol w:w="4814"/>
      </w:tblGrid>
      <w:tr w:rsidR="001B64C0" w14:paraId="730C7FAB" w14:textId="77777777" w:rsidTr="4091D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Pr>
          <w:p w14:paraId="79A96820" w14:textId="4BFB0D18" w:rsidR="001B64C0" w:rsidRPr="00B7425E" w:rsidRDefault="3B0F0CB5" w:rsidP="001B64C0">
            <w:pPr>
              <w:pStyle w:val="BodyText"/>
              <w:jc w:val="center"/>
              <w:rPr>
                <w:lang w:val="en-US"/>
              </w:rPr>
            </w:pPr>
            <w:r>
              <w:t>Asylum seekers and those with no recourse to public funds</w:t>
            </w:r>
          </w:p>
        </w:tc>
      </w:tr>
      <w:tr w:rsidR="001B64C0" w14:paraId="16052BDA" w14:textId="77777777" w:rsidTr="4091D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C25E172" w14:textId="5AD40BFB" w:rsidR="00AA4790" w:rsidRPr="00990461" w:rsidRDefault="46F7A41C" w:rsidP="00AA4790">
            <w:pPr>
              <w:pStyle w:val="BodyText"/>
              <w:rPr>
                <w:rFonts w:eastAsia="Calibri" w:cs="Times New Roman"/>
                <w:lang w:eastAsia="en-GB"/>
              </w:rPr>
            </w:pPr>
            <w:r>
              <w:t>Current situation</w:t>
            </w:r>
          </w:p>
          <w:p w14:paraId="326CBF69" w14:textId="0B7AFD14" w:rsidR="00B13167" w:rsidRPr="00990461" w:rsidRDefault="58174DB4" w:rsidP="00990461">
            <w:pPr>
              <w:pStyle w:val="BodyText"/>
              <w:numPr>
                <w:ilvl w:val="0"/>
                <w:numId w:val="16"/>
              </w:numPr>
              <w:rPr>
                <w:b w:val="0"/>
                <w:bCs w:val="0"/>
                <w:lang w:eastAsia="en-GB"/>
              </w:rPr>
            </w:pPr>
            <w:r w:rsidRPr="00990461">
              <w:rPr>
                <w:b w:val="0"/>
                <w:bCs w:val="0"/>
                <w:lang w:eastAsia="en-GB"/>
              </w:rPr>
              <w:t>A fifth of destitute households are migrants, primarily due to the no recourse to public funds condition (NRPF)</w:t>
            </w:r>
            <w:r w:rsidR="0038151F">
              <w:rPr>
                <w:rStyle w:val="FootnoteReference"/>
                <w:b w:val="0"/>
                <w:bCs w:val="0"/>
                <w:lang w:eastAsia="en-GB"/>
              </w:rPr>
              <w:footnoteReference w:id="34"/>
            </w:r>
          </w:p>
          <w:p w14:paraId="43DC51C4" w14:textId="432B1994" w:rsidR="005D1B17" w:rsidRPr="005D1B17" w:rsidRDefault="35F55D47" w:rsidP="00990461">
            <w:pPr>
              <w:pStyle w:val="BodyText"/>
              <w:numPr>
                <w:ilvl w:val="0"/>
                <w:numId w:val="16"/>
              </w:numPr>
              <w:rPr>
                <w:b w:val="0"/>
                <w:bCs w:val="0"/>
                <w:lang w:eastAsia="en-GB"/>
              </w:rPr>
            </w:pPr>
            <w:r w:rsidRPr="005D1B17">
              <w:rPr>
                <w:b w:val="0"/>
                <w:bCs w:val="0"/>
                <w:lang w:eastAsia="en-GB"/>
              </w:rPr>
              <w:t>48% of families with NRPF are currently behind on rent, compared to 15% of families generally</w:t>
            </w:r>
            <w:r w:rsidR="001E3040">
              <w:rPr>
                <w:rStyle w:val="FootnoteReference"/>
                <w:b w:val="0"/>
                <w:bCs w:val="0"/>
                <w:lang w:eastAsia="en-GB"/>
              </w:rPr>
              <w:footnoteReference w:id="35"/>
            </w:r>
            <w:r w:rsidRPr="005D1B17">
              <w:rPr>
                <w:b w:val="0"/>
                <w:bCs w:val="0"/>
                <w:lang w:eastAsia="en-GB"/>
              </w:rPr>
              <w:t> </w:t>
            </w:r>
          </w:p>
          <w:p w14:paraId="7639A211" w14:textId="0693D3FA" w:rsidR="005D1B17" w:rsidRPr="005D1B17" w:rsidRDefault="35F55D47" w:rsidP="00990461">
            <w:pPr>
              <w:pStyle w:val="BodyText"/>
              <w:numPr>
                <w:ilvl w:val="0"/>
                <w:numId w:val="16"/>
              </w:numPr>
              <w:rPr>
                <w:b w:val="0"/>
                <w:bCs w:val="0"/>
                <w:lang w:eastAsia="en-GB"/>
              </w:rPr>
            </w:pPr>
            <w:r>
              <w:rPr>
                <w:b w:val="0"/>
                <w:bCs w:val="0"/>
                <w:lang w:eastAsia="en-GB"/>
              </w:rPr>
              <w:lastRenderedPageBreak/>
              <w:t>It is e</w:t>
            </w:r>
            <w:r w:rsidRPr="005D1B17">
              <w:rPr>
                <w:b w:val="0"/>
                <w:bCs w:val="0"/>
                <w:lang w:eastAsia="en-GB"/>
              </w:rPr>
              <w:t>stimated that 1.4million people have NRPF, but formal data is not collected</w:t>
            </w:r>
            <w:r w:rsidR="00B62B73">
              <w:rPr>
                <w:rStyle w:val="FootnoteReference"/>
                <w:b w:val="0"/>
                <w:bCs w:val="0"/>
                <w:lang w:eastAsia="en-GB"/>
              </w:rPr>
              <w:footnoteReference w:id="36"/>
            </w:r>
            <w:r w:rsidRPr="005D1B17">
              <w:rPr>
                <w:b w:val="0"/>
                <w:bCs w:val="0"/>
                <w:lang w:eastAsia="en-GB"/>
              </w:rPr>
              <w:t> </w:t>
            </w:r>
          </w:p>
          <w:p w14:paraId="1C0B6C86" w14:textId="331CFAD4" w:rsidR="005D1B17" w:rsidRPr="005D1B17" w:rsidRDefault="35F55D47" w:rsidP="00990461">
            <w:pPr>
              <w:pStyle w:val="BodyText"/>
              <w:numPr>
                <w:ilvl w:val="0"/>
                <w:numId w:val="16"/>
              </w:numPr>
              <w:rPr>
                <w:b w:val="0"/>
                <w:bCs w:val="0"/>
                <w:lang w:eastAsia="en-GB"/>
              </w:rPr>
            </w:pPr>
            <w:r w:rsidRPr="005D1B17">
              <w:rPr>
                <w:b w:val="0"/>
                <w:bCs w:val="0"/>
                <w:lang w:eastAsia="en-GB"/>
              </w:rPr>
              <w:t>Food parcel demand from families with NRPF has doubled since 2016/17</w:t>
            </w:r>
            <w:r w:rsidR="00D16935">
              <w:rPr>
                <w:rStyle w:val="FootnoteReference"/>
                <w:b w:val="0"/>
                <w:bCs w:val="0"/>
                <w:lang w:eastAsia="en-GB"/>
              </w:rPr>
              <w:footnoteReference w:id="37"/>
            </w:r>
            <w:r w:rsidRPr="005D1B17">
              <w:rPr>
                <w:b w:val="0"/>
                <w:bCs w:val="0"/>
                <w:lang w:eastAsia="en-GB"/>
              </w:rPr>
              <w:t> </w:t>
            </w:r>
          </w:p>
          <w:p w14:paraId="188F1318" w14:textId="55BF4E6E" w:rsidR="005D1B17" w:rsidRPr="005D1B17" w:rsidRDefault="35F55D47" w:rsidP="00990461">
            <w:pPr>
              <w:pStyle w:val="BodyText"/>
              <w:numPr>
                <w:ilvl w:val="0"/>
                <w:numId w:val="16"/>
              </w:numPr>
              <w:rPr>
                <w:b w:val="0"/>
                <w:bCs w:val="0"/>
                <w:lang w:eastAsia="en-GB"/>
              </w:rPr>
            </w:pPr>
            <w:r w:rsidRPr="005D1B17">
              <w:rPr>
                <w:b w:val="0"/>
                <w:bCs w:val="0"/>
                <w:lang w:eastAsia="en-GB"/>
              </w:rPr>
              <w:t>In 2020/21, 21% of families who requested support from social services had NRPF</w:t>
            </w:r>
            <w:r w:rsidR="00F909C7">
              <w:rPr>
                <w:rStyle w:val="FootnoteReference"/>
                <w:b w:val="0"/>
                <w:bCs w:val="0"/>
                <w:lang w:eastAsia="en-GB"/>
              </w:rPr>
              <w:footnoteReference w:id="38"/>
            </w:r>
            <w:r w:rsidRPr="005D1B17">
              <w:rPr>
                <w:b w:val="0"/>
                <w:bCs w:val="0"/>
                <w:lang w:eastAsia="en-GB"/>
              </w:rPr>
              <w:t> </w:t>
            </w:r>
          </w:p>
          <w:p w14:paraId="418AC0A0" w14:textId="77777777" w:rsidR="001B64C0" w:rsidRDefault="001B64C0" w:rsidP="00012074">
            <w:pPr>
              <w:pStyle w:val="BodyText"/>
              <w:rPr>
                <w:lang w:val="en-US"/>
              </w:rPr>
            </w:pPr>
          </w:p>
        </w:tc>
        <w:tc>
          <w:tcPr>
            <w:tcW w:w="4814" w:type="dxa"/>
          </w:tcPr>
          <w:p w14:paraId="579D1ACF" w14:textId="77777777" w:rsidR="001B64C0" w:rsidRDefault="46F7A41C"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r w:rsidRPr="4091DAC8">
              <w:rPr>
                <w:b/>
                <w:bCs/>
              </w:rPr>
              <w:lastRenderedPageBreak/>
              <w:t>Causes</w:t>
            </w:r>
          </w:p>
          <w:p w14:paraId="411A5323" w14:textId="1B23765E" w:rsidR="00C346DA" w:rsidRDefault="126D4DFF" w:rsidP="00990461">
            <w:pPr>
              <w:pStyle w:val="BodyText"/>
              <w:numPr>
                <w:ilvl w:val="0"/>
                <w:numId w:val="15"/>
              </w:numPr>
              <w:cnfStyle w:val="000000100000" w:firstRow="0" w:lastRow="0" w:firstColumn="0" w:lastColumn="0" w:oddVBand="0" w:evenVBand="0" w:oddHBand="1" w:evenHBand="0" w:firstRowFirstColumn="0" w:firstRowLastColumn="0" w:lastRowFirstColumn="0" w:lastRowLastColumn="0"/>
              <w:rPr>
                <w:lang w:eastAsia="en-GB"/>
              </w:rPr>
            </w:pPr>
            <w:r>
              <w:t>NRPF restricts access to benefits that are classed as public funds, including Universal Credit, Pension Credit and Child Benefit </w:t>
            </w:r>
          </w:p>
          <w:p w14:paraId="795FE09B" w14:textId="77777777" w:rsidR="00C346DA" w:rsidRPr="00D25617" w:rsidRDefault="126D4DFF" w:rsidP="00990461">
            <w:pPr>
              <w:pStyle w:val="BodyText"/>
              <w:numPr>
                <w:ilvl w:val="0"/>
                <w:numId w:val="15"/>
              </w:numPr>
              <w:cnfStyle w:val="000000100000" w:firstRow="0" w:lastRow="0" w:firstColumn="0" w:lastColumn="0" w:oddVBand="0" w:evenVBand="0" w:oddHBand="1" w:evenHBand="0" w:firstRowFirstColumn="0" w:firstRowLastColumn="0" w:lastRowFirstColumn="0" w:lastRowLastColumn="0"/>
              <w:rPr>
                <w:lang w:eastAsia="en-GB"/>
              </w:rPr>
            </w:pPr>
            <w:r>
              <w:t>Originally asylum support rates were set at 70% of income support, on the grounds that housing and utility costs are covered separately, but have fallen below these rates </w:t>
            </w:r>
          </w:p>
          <w:p w14:paraId="1D1638DA" w14:textId="532DB48C" w:rsidR="00C346DA" w:rsidRPr="00D25617" w:rsidRDefault="126D4DFF" w:rsidP="00990461">
            <w:pPr>
              <w:pStyle w:val="BodyText"/>
              <w:numPr>
                <w:ilvl w:val="0"/>
                <w:numId w:val="15"/>
              </w:numPr>
              <w:cnfStyle w:val="000000100000" w:firstRow="0" w:lastRow="0" w:firstColumn="0" w:lastColumn="0" w:oddVBand="0" w:evenVBand="0" w:oddHBand="1" w:evenHBand="0" w:firstRowFirstColumn="0" w:firstRowLastColumn="0" w:lastRowFirstColumn="0" w:lastRowLastColumn="0"/>
              <w:rPr>
                <w:lang w:eastAsia="en-GB"/>
              </w:rPr>
            </w:pPr>
            <w:r w:rsidRPr="00D25617">
              <w:rPr>
                <w:lang w:eastAsia="en-GB"/>
              </w:rPr>
              <w:t xml:space="preserve">Joint Committee on Human Rights (2007) found that the government is </w:t>
            </w:r>
            <w:r w:rsidRPr="00D25617">
              <w:rPr>
                <w:lang w:eastAsia="en-GB"/>
              </w:rPr>
              <w:lastRenderedPageBreak/>
              <w:t>"practicing a deliberate policy of destitution"</w:t>
            </w:r>
            <w:r w:rsidR="00BC35D1">
              <w:rPr>
                <w:rStyle w:val="FootnoteReference"/>
                <w:lang w:eastAsia="en-GB"/>
              </w:rPr>
              <w:footnoteReference w:id="39"/>
            </w:r>
            <w:r w:rsidRPr="00D25617">
              <w:rPr>
                <w:lang w:eastAsia="en-GB"/>
              </w:rPr>
              <w:t>, but asylum seekers report a preference to endure long periods of destitution rather than return to countries of origin </w:t>
            </w:r>
          </w:p>
          <w:p w14:paraId="3A80C705" w14:textId="3FDCB471" w:rsidR="00C346DA" w:rsidRPr="00D25617" w:rsidRDefault="126D4DFF" w:rsidP="00990461">
            <w:pPr>
              <w:pStyle w:val="BodyText"/>
              <w:numPr>
                <w:ilvl w:val="0"/>
                <w:numId w:val="15"/>
              </w:numPr>
              <w:cnfStyle w:val="000000100000" w:firstRow="0" w:lastRow="0" w:firstColumn="0" w:lastColumn="0" w:oddVBand="0" w:evenVBand="0" w:oddHBand="1" w:evenHBand="0" w:firstRowFirstColumn="0" w:firstRowLastColumn="0" w:lastRowFirstColumn="0" w:lastRowLastColumn="0"/>
              <w:rPr>
                <w:lang w:eastAsia="en-GB"/>
              </w:rPr>
            </w:pPr>
            <w:r w:rsidRPr="00D25617">
              <w:rPr>
                <w:lang w:eastAsia="en-GB"/>
              </w:rPr>
              <w:t xml:space="preserve">Many are afraid to use healthcare or benefits to which they are entitled for fear of being charged or data being shared with the Home </w:t>
            </w:r>
            <w:r>
              <w:rPr>
                <w:lang w:eastAsia="en-GB"/>
              </w:rPr>
              <w:t>O</w:t>
            </w:r>
            <w:r w:rsidRPr="00D25617">
              <w:rPr>
                <w:lang w:eastAsia="en-GB"/>
              </w:rPr>
              <w:t>ffice</w:t>
            </w:r>
            <w:r w:rsidR="00866668">
              <w:rPr>
                <w:rStyle w:val="FootnoteReference"/>
                <w:lang w:eastAsia="en-GB"/>
              </w:rPr>
              <w:footnoteReference w:id="40"/>
            </w:r>
            <w:r w:rsidRPr="00D25617">
              <w:rPr>
                <w:lang w:eastAsia="en-GB"/>
              </w:rPr>
              <w:t> </w:t>
            </w:r>
          </w:p>
          <w:p w14:paraId="030C9D8F" w14:textId="518E353C" w:rsidR="00C346DA" w:rsidRPr="00AA4790" w:rsidRDefault="00C346DA"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p>
        </w:tc>
      </w:tr>
    </w:tbl>
    <w:p w14:paraId="49CED9BD" w14:textId="6E69D372" w:rsidR="001B64C0" w:rsidRDefault="001B64C0" w:rsidP="00012074">
      <w:pPr>
        <w:pStyle w:val="BodyText"/>
        <w:rPr>
          <w:lang w:val="en-US"/>
        </w:rPr>
      </w:pPr>
    </w:p>
    <w:tbl>
      <w:tblPr>
        <w:tblStyle w:val="ListTable3-Accent2"/>
        <w:tblW w:w="0" w:type="auto"/>
        <w:tblLook w:val="04A0" w:firstRow="1" w:lastRow="0" w:firstColumn="1" w:lastColumn="0" w:noHBand="0" w:noVBand="1"/>
      </w:tblPr>
      <w:tblGrid>
        <w:gridCol w:w="4814"/>
        <w:gridCol w:w="4814"/>
      </w:tblGrid>
      <w:tr w:rsidR="001B64C0" w14:paraId="4D76A788" w14:textId="77777777" w:rsidTr="4091DAC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628" w:type="dxa"/>
            <w:gridSpan w:val="2"/>
          </w:tcPr>
          <w:p w14:paraId="711F0102" w14:textId="0A918770" w:rsidR="001B64C0" w:rsidRPr="000F287A" w:rsidRDefault="3B0F0CB5" w:rsidP="001B64C0">
            <w:pPr>
              <w:pStyle w:val="BodyText"/>
              <w:jc w:val="center"/>
              <w:rPr>
                <w:lang w:val="en-US"/>
              </w:rPr>
            </w:pPr>
            <w:r>
              <w:t>Ethnic minorities</w:t>
            </w:r>
          </w:p>
        </w:tc>
      </w:tr>
      <w:tr w:rsidR="001B64C0" w14:paraId="4A26E0A7" w14:textId="77777777" w:rsidTr="4091DA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15808862" w14:textId="53B38F62" w:rsidR="00990461" w:rsidRPr="00990461" w:rsidRDefault="00990461" w:rsidP="00990461">
            <w:pPr>
              <w:pStyle w:val="ListBullet"/>
              <w:numPr>
                <w:ilvl w:val="0"/>
                <w:numId w:val="0"/>
              </w:numPr>
            </w:pPr>
            <w:r>
              <w:t>Current situation</w:t>
            </w:r>
          </w:p>
          <w:p w14:paraId="5188417E" w14:textId="4C836062" w:rsidR="00990461" w:rsidRPr="00990461" w:rsidRDefault="00990461" w:rsidP="00990461">
            <w:pPr>
              <w:pStyle w:val="ListBullet"/>
              <w:rPr>
                <w:b w:val="0"/>
                <w:bCs w:val="0"/>
              </w:rPr>
            </w:pPr>
            <w:r w:rsidRPr="00990461">
              <w:rPr>
                <w:b w:val="0"/>
                <w:bCs w:val="0"/>
              </w:rPr>
              <w:t>Income poverty rate varies significantly by ethnic groups: Bangladeshi (65%), Pakistani (55%), black Africans (45%) have the highest rates; black Caribbean (30%), Indian (25%) white Other (25%) and white British (20%) have the lowest rates</w:t>
            </w:r>
            <w:r w:rsidR="00AF3AEF">
              <w:rPr>
                <w:rStyle w:val="FootnoteReference"/>
                <w:b w:val="0"/>
                <w:bCs w:val="0"/>
              </w:rPr>
              <w:footnoteReference w:id="41"/>
            </w:r>
            <w:r w:rsidRPr="00990461">
              <w:rPr>
                <w:b w:val="0"/>
                <w:bCs w:val="0"/>
              </w:rPr>
              <w:t xml:space="preserve"> </w:t>
            </w:r>
          </w:p>
          <w:p w14:paraId="7345723C" w14:textId="7F7443A3" w:rsidR="00990461" w:rsidRPr="00990461" w:rsidRDefault="00990461" w:rsidP="00990461">
            <w:pPr>
              <w:pStyle w:val="ListBullet"/>
              <w:rPr>
                <w:b w:val="0"/>
                <w:bCs w:val="0"/>
              </w:rPr>
            </w:pPr>
            <w:r w:rsidRPr="00990461">
              <w:rPr>
                <w:b w:val="0"/>
                <w:bCs w:val="0"/>
              </w:rPr>
              <w:t xml:space="preserve">White British poverty rates are similar across the country, but for ethnic minority </w:t>
            </w:r>
            <w:r w:rsidRPr="00990461">
              <w:rPr>
                <w:b w:val="0"/>
                <w:bCs w:val="0"/>
              </w:rPr>
              <w:lastRenderedPageBreak/>
              <w:t xml:space="preserve">groups rates are much higher in inner London, the English </w:t>
            </w:r>
            <w:proofErr w:type="gramStart"/>
            <w:r w:rsidRPr="00990461">
              <w:rPr>
                <w:b w:val="0"/>
                <w:bCs w:val="0"/>
              </w:rPr>
              <w:t>North</w:t>
            </w:r>
            <w:proofErr w:type="gramEnd"/>
            <w:r w:rsidRPr="00990461">
              <w:rPr>
                <w:b w:val="0"/>
                <w:bCs w:val="0"/>
              </w:rPr>
              <w:t xml:space="preserve"> and the Midlands</w:t>
            </w:r>
            <w:r w:rsidR="00772CB8">
              <w:rPr>
                <w:rStyle w:val="FootnoteReference"/>
                <w:b w:val="0"/>
                <w:bCs w:val="0"/>
              </w:rPr>
              <w:footnoteReference w:id="42"/>
            </w:r>
          </w:p>
          <w:p w14:paraId="41A9C1E5" w14:textId="12FAA220" w:rsidR="001B64C0" w:rsidRPr="00990461" w:rsidRDefault="00990461" w:rsidP="00990461">
            <w:pPr>
              <w:pStyle w:val="ListBullet"/>
              <w:rPr>
                <w:b w:val="0"/>
                <w:bCs w:val="0"/>
              </w:rPr>
            </w:pPr>
            <w:r w:rsidRPr="00990461">
              <w:rPr>
                <w:b w:val="0"/>
                <w:bCs w:val="0"/>
              </w:rPr>
              <w:t>46% of BAME children compared with 26% of children in White British families are in povert</w:t>
            </w:r>
            <w:r w:rsidR="24871B2C">
              <w:rPr>
                <w:b w:val="0"/>
                <w:bCs w:val="0"/>
              </w:rPr>
              <w:t>y</w:t>
            </w:r>
            <w:r w:rsidR="009F11FA">
              <w:rPr>
                <w:rStyle w:val="FootnoteReference"/>
                <w:b w:val="0"/>
                <w:bCs w:val="0"/>
              </w:rPr>
              <w:footnoteReference w:id="43"/>
            </w:r>
            <w:r w:rsidRPr="00990461">
              <w:rPr>
                <w:b w:val="0"/>
                <w:bCs w:val="0"/>
              </w:rPr>
              <w:t>.</w:t>
            </w:r>
          </w:p>
          <w:p w14:paraId="5C05E558" w14:textId="0E306CC9" w:rsidR="00990461" w:rsidRPr="00990461" w:rsidRDefault="00990461" w:rsidP="00990461">
            <w:pPr>
              <w:pStyle w:val="ListBullet"/>
              <w:rPr>
                <w:b w:val="0"/>
                <w:bCs w:val="0"/>
              </w:rPr>
            </w:pPr>
            <w:r w:rsidRPr="00990461">
              <w:rPr>
                <w:b w:val="0"/>
                <w:bCs w:val="0"/>
                <w:lang w:eastAsia="en-GB"/>
              </w:rPr>
              <w:t>45% of users of the Lightning platform (for accessing hardship funds) are from minority ethnic backgrounds</w:t>
            </w:r>
            <w:r w:rsidR="000F287A">
              <w:rPr>
                <w:rStyle w:val="FootnoteReference"/>
                <w:b w:val="0"/>
                <w:bCs w:val="0"/>
                <w:lang w:eastAsia="en-GB"/>
              </w:rPr>
              <w:footnoteReference w:id="44"/>
            </w:r>
            <w:r w:rsidRPr="00990461">
              <w:rPr>
                <w:b w:val="0"/>
                <w:bCs w:val="0"/>
                <w:lang w:eastAsia="en-GB"/>
              </w:rPr>
              <w:t> </w:t>
            </w:r>
          </w:p>
        </w:tc>
        <w:tc>
          <w:tcPr>
            <w:tcW w:w="4814" w:type="dxa"/>
          </w:tcPr>
          <w:p w14:paraId="72532612" w14:textId="77777777" w:rsidR="001B64C0" w:rsidRDefault="00990461"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r w:rsidRPr="4091DAC8">
              <w:rPr>
                <w:b/>
                <w:bCs/>
              </w:rPr>
              <w:lastRenderedPageBreak/>
              <w:t>Causes</w:t>
            </w:r>
          </w:p>
          <w:p w14:paraId="02E29CED" w14:textId="2C8A6DBF" w:rsidR="00990461" w:rsidRPr="00990461" w:rsidRDefault="00990461" w:rsidP="00990461">
            <w:pPr>
              <w:pStyle w:val="ListBullet"/>
              <w:cnfStyle w:val="000000100000" w:firstRow="0" w:lastRow="0" w:firstColumn="0" w:lastColumn="0" w:oddVBand="0" w:evenVBand="0" w:oddHBand="1" w:evenHBand="0" w:firstRowFirstColumn="0" w:firstRowLastColumn="0" w:lastRowFirstColumn="0" w:lastRowLastColumn="0"/>
              <w:rPr>
                <w:lang w:eastAsia="en-GB"/>
              </w:rPr>
            </w:pPr>
            <w:r>
              <w:t>History of slavery and ongoing legacy of systemic and institutional racism stigmatises Black households  </w:t>
            </w:r>
          </w:p>
          <w:p w14:paraId="4AAAEC1D" w14:textId="1DACDF1C" w:rsidR="00990461" w:rsidRPr="00990461" w:rsidRDefault="00990461" w:rsidP="00990461">
            <w:pPr>
              <w:pStyle w:val="ListBullet"/>
              <w:cnfStyle w:val="000000100000" w:firstRow="0" w:lastRow="0" w:firstColumn="0" w:lastColumn="0" w:oddVBand="0" w:evenVBand="0" w:oddHBand="1" w:evenHBand="0" w:firstRowFirstColumn="0" w:firstRowLastColumn="0" w:lastRowFirstColumn="0" w:lastRowLastColumn="0"/>
              <w:rPr>
                <w:lang w:eastAsia="en-GB"/>
              </w:rPr>
            </w:pPr>
            <w:r>
              <w:t>Disparities in income and wealth between Black households and households of other races and ethnicities.  </w:t>
            </w:r>
          </w:p>
          <w:p w14:paraId="1A310156" w14:textId="420969F1" w:rsidR="00990461" w:rsidRPr="00990461" w:rsidRDefault="00990461" w:rsidP="00990461">
            <w:pPr>
              <w:pStyle w:val="ListBullet"/>
              <w:cnfStyle w:val="000000100000" w:firstRow="0" w:lastRow="0" w:firstColumn="0" w:lastColumn="0" w:oddVBand="0" w:evenVBand="0" w:oddHBand="1" w:evenHBand="0" w:firstRowFirstColumn="0" w:firstRowLastColumn="0" w:lastRowFirstColumn="0" w:lastRowLastColumn="0"/>
              <w:rPr>
                <w:lang w:eastAsia="en-GB"/>
              </w:rPr>
            </w:pPr>
            <w:r>
              <w:lastRenderedPageBreak/>
              <w:t>Structural racism and discrimination continue to restrict job opportunities and wage levels for Black workers. </w:t>
            </w:r>
          </w:p>
          <w:p w14:paraId="650D00D4" w14:textId="2E75CBFD" w:rsidR="00990461" w:rsidRPr="00A4461E" w:rsidRDefault="00990461" w:rsidP="00990461">
            <w:pPr>
              <w:pStyle w:val="ListBullet"/>
              <w:cnfStyle w:val="000000100000" w:firstRow="0" w:lastRow="0" w:firstColumn="0" w:lastColumn="0" w:oddVBand="0" w:evenVBand="0" w:oddHBand="1" w:evenHBand="0" w:firstRowFirstColumn="0" w:firstRowLastColumn="0" w:lastRowFirstColumn="0" w:lastRowLastColumn="0"/>
              <w:rPr>
                <w:lang w:eastAsia="en-GB"/>
              </w:rPr>
            </w:pPr>
            <w:r w:rsidRPr="00CF39BF">
              <w:rPr>
                <w:lang w:eastAsia="en-GB"/>
              </w:rPr>
              <w:t xml:space="preserve">Black workers are paid 16% less than </w:t>
            </w:r>
            <w:r w:rsidRPr="00A4461E">
              <w:rPr>
                <w:lang w:eastAsia="en-GB"/>
              </w:rPr>
              <w:t>white workers (up from 10% in 2000)</w:t>
            </w:r>
            <w:r w:rsidR="00725323" w:rsidRPr="00A4461E">
              <w:rPr>
                <w:rStyle w:val="FootnoteReference"/>
                <w:lang w:eastAsia="en-GB"/>
              </w:rPr>
              <w:footnoteReference w:id="45"/>
            </w:r>
          </w:p>
          <w:p w14:paraId="3EE5B4E2" w14:textId="31E47057" w:rsidR="00990461" w:rsidRPr="00A4461E" w:rsidRDefault="00990461" w:rsidP="00990461">
            <w:pPr>
              <w:pStyle w:val="ListBullet"/>
              <w:cnfStyle w:val="000000100000" w:firstRow="0" w:lastRow="0" w:firstColumn="0" w:lastColumn="0" w:oddVBand="0" w:evenVBand="0" w:oddHBand="1" w:evenHBand="0" w:firstRowFirstColumn="0" w:firstRowLastColumn="0" w:lastRowFirstColumn="0" w:lastRowLastColumn="0"/>
              <w:rPr>
                <w:lang w:eastAsia="en-GB"/>
              </w:rPr>
            </w:pPr>
            <w:r w:rsidRPr="00A4461E">
              <w:rPr>
                <w:lang w:eastAsia="en-GB"/>
              </w:rPr>
              <w:t>Differences in age, family type, and family work status account for ~50% of the “excess” poverty rates for ethnic minority groups</w:t>
            </w:r>
            <w:r w:rsidR="00A4461E" w:rsidRPr="00A4461E">
              <w:rPr>
                <w:rStyle w:val="FootnoteReference"/>
                <w:lang w:eastAsia="en-GB"/>
              </w:rPr>
              <w:footnoteReference w:id="46"/>
            </w:r>
          </w:p>
          <w:p w14:paraId="693C521C" w14:textId="53800BD7" w:rsidR="00990461" w:rsidRPr="00990461" w:rsidRDefault="00990461" w:rsidP="00012074">
            <w:pPr>
              <w:pStyle w:val="BodyText"/>
              <w:cnfStyle w:val="000000100000" w:firstRow="0" w:lastRow="0" w:firstColumn="0" w:lastColumn="0" w:oddVBand="0" w:evenVBand="0" w:oddHBand="1" w:evenHBand="0" w:firstRowFirstColumn="0" w:firstRowLastColumn="0" w:lastRowFirstColumn="0" w:lastRowLastColumn="0"/>
              <w:rPr>
                <w:b/>
                <w:bCs/>
                <w:lang w:val="en-US"/>
              </w:rPr>
            </w:pPr>
          </w:p>
        </w:tc>
      </w:tr>
    </w:tbl>
    <w:p w14:paraId="57202D44" w14:textId="1763A40F" w:rsidR="00E45935" w:rsidRDefault="00E45935" w:rsidP="00D70A42">
      <w:pPr>
        <w:pStyle w:val="Heading2"/>
        <w:rPr>
          <w:lang w:val="en-US"/>
        </w:rPr>
      </w:pPr>
      <w:bookmarkStart w:id="4" w:name="_Toc109210578"/>
    </w:p>
    <w:p w14:paraId="64999B74" w14:textId="6D0E491F" w:rsidR="00D25617" w:rsidRPr="00D25617" w:rsidRDefault="00990461" w:rsidP="00990461">
      <w:pPr>
        <w:pStyle w:val="BodyText"/>
        <w:rPr>
          <w:lang w:val="en-US"/>
        </w:rPr>
      </w:pPr>
      <w:r w:rsidRPr="4091DAC8">
        <w:rPr>
          <w:rFonts w:ascii="Arial" w:eastAsia="Times New Roman" w:hAnsi="Arial" w:cs="Arial"/>
          <w:color w:val="000000" w:themeColor="text1"/>
          <w:sz w:val="18"/>
          <w:szCs w:val="18"/>
        </w:rPr>
        <w:t> </w:t>
      </w:r>
    </w:p>
    <w:p w14:paraId="672FB846" w14:textId="1AC01CDE" w:rsidR="00D70A42" w:rsidRDefault="00D70A42" w:rsidP="00D70A42">
      <w:pPr>
        <w:pStyle w:val="Heading2"/>
        <w:rPr>
          <w:lang w:val="en-US"/>
        </w:rPr>
      </w:pPr>
      <w:r>
        <w:t>How is the financial hardship landscape changing due to Covid-19 and the cost-of-living crisis?</w:t>
      </w:r>
      <w:bookmarkEnd w:id="4"/>
    </w:p>
    <w:p w14:paraId="23640896" w14:textId="5A7D8CCD" w:rsidR="00546267" w:rsidRDefault="00546267" w:rsidP="00546267">
      <w:pPr>
        <w:pStyle w:val="Heading3"/>
        <w:rPr>
          <w:lang w:val="en-US"/>
        </w:rPr>
      </w:pPr>
      <w:r>
        <w:t>The effects of Covid-19 overall</w:t>
      </w:r>
    </w:p>
    <w:p w14:paraId="132BA6A4" w14:textId="33342FAB" w:rsidR="00891934" w:rsidRPr="00891934" w:rsidRDefault="00891934" w:rsidP="00891934">
      <w:pPr>
        <w:pStyle w:val="BodyText"/>
        <w:rPr>
          <w:lang w:val="en-US"/>
        </w:rPr>
      </w:pPr>
      <w:r w:rsidRPr="00A448CE">
        <w:rPr>
          <w:lang w:val="en-US"/>
        </w:rPr>
        <w:t>The pandemic saw a drop in household income for around a third of all UK adults</w:t>
      </w:r>
      <w:r w:rsidR="00757ADF" w:rsidRPr="00A448CE">
        <w:rPr>
          <w:rStyle w:val="FootnoteReference"/>
          <w:lang w:val="en-US"/>
        </w:rPr>
        <w:footnoteReference w:id="47"/>
      </w:r>
      <w:r w:rsidR="000A7FB4" w:rsidRPr="00A448CE">
        <w:rPr>
          <w:lang w:val="en-US"/>
        </w:rPr>
        <w:t>. 230,000 private renters fell behind on rent</w:t>
      </w:r>
      <w:r w:rsidR="00AC795D" w:rsidRPr="00A448CE">
        <w:rPr>
          <w:rStyle w:val="FootnoteReference"/>
          <w:lang w:val="en-US"/>
        </w:rPr>
        <w:footnoteReference w:id="48"/>
      </w:r>
      <w:r w:rsidR="000A7FB4" w:rsidRPr="00A448CE">
        <w:rPr>
          <w:lang w:val="en-US"/>
        </w:rPr>
        <w:t>. School closures exacerbated attainment gaps that will contribute to longer term financial inequality, as well</w:t>
      </w:r>
      <w:r w:rsidR="000A7FB4">
        <w:rPr>
          <w:lang w:val="en-US"/>
        </w:rPr>
        <w:t xml:space="preserve"> as preventing disadvantaged children from accessing free school meals. </w:t>
      </w:r>
      <w:r w:rsidR="005C1953">
        <w:rPr>
          <w:lang w:val="en-US"/>
        </w:rPr>
        <w:t xml:space="preserve">For those experiencing financial hardship, access to support was restricted, including to community </w:t>
      </w:r>
      <w:proofErr w:type="spellStart"/>
      <w:r w:rsidR="005C1953">
        <w:rPr>
          <w:lang w:val="en-US"/>
        </w:rPr>
        <w:t>centres</w:t>
      </w:r>
      <w:proofErr w:type="spellEnd"/>
      <w:r w:rsidR="005C1953">
        <w:rPr>
          <w:lang w:val="en-US"/>
        </w:rPr>
        <w:t xml:space="preserve">, libraries, health </w:t>
      </w:r>
      <w:proofErr w:type="spellStart"/>
      <w:r w:rsidR="005C1953">
        <w:rPr>
          <w:lang w:val="en-US"/>
        </w:rPr>
        <w:t>centres</w:t>
      </w:r>
      <w:proofErr w:type="spellEnd"/>
      <w:r w:rsidR="005C1953">
        <w:rPr>
          <w:lang w:val="en-US"/>
        </w:rPr>
        <w:t xml:space="preserve"> and social networks.</w:t>
      </w:r>
    </w:p>
    <w:p w14:paraId="26E8D24D" w14:textId="3D1087D9" w:rsidR="00546267" w:rsidRDefault="00546267" w:rsidP="00546267">
      <w:pPr>
        <w:pStyle w:val="Heading3"/>
        <w:rPr>
          <w:lang w:val="en-US"/>
        </w:rPr>
      </w:pPr>
      <w:r>
        <w:lastRenderedPageBreak/>
        <w:t>The effects of Covid-19 on specific groups</w:t>
      </w:r>
    </w:p>
    <w:tbl>
      <w:tblPr>
        <w:tblStyle w:val="NPCtable"/>
        <w:tblW w:w="0" w:type="auto"/>
        <w:tblLook w:val="04A0" w:firstRow="1" w:lastRow="0" w:firstColumn="1" w:lastColumn="0" w:noHBand="0" w:noVBand="1"/>
      </w:tblPr>
      <w:tblGrid>
        <w:gridCol w:w="1923"/>
        <w:gridCol w:w="1902"/>
        <w:gridCol w:w="2011"/>
        <w:gridCol w:w="1892"/>
        <w:gridCol w:w="1900"/>
      </w:tblGrid>
      <w:tr w:rsidR="00D03C6D" w14:paraId="3C8D77AE" w14:textId="77777777" w:rsidTr="4091DAC8">
        <w:trPr>
          <w:cnfStyle w:val="100000000000" w:firstRow="1" w:lastRow="0" w:firstColumn="0" w:lastColumn="0" w:oddVBand="0" w:evenVBand="0" w:oddHBand="0" w:evenHBand="0" w:firstRowFirstColumn="0" w:firstRowLastColumn="0" w:lastRowFirstColumn="0" w:lastRowLastColumn="0"/>
        </w:trPr>
        <w:tc>
          <w:tcPr>
            <w:tcW w:w="1925" w:type="dxa"/>
            <w:shd w:val="clear" w:color="auto" w:fill="F26F21" w:themeFill="accent6"/>
          </w:tcPr>
          <w:p w14:paraId="46007F95" w14:textId="563861D8" w:rsidR="00233167" w:rsidRDefault="7F6D0018" w:rsidP="00233167">
            <w:pPr>
              <w:pStyle w:val="BodyText"/>
              <w:rPr>
                <w:lang w:val="en-US"/>
              </w:rPr>
            </w:pPr>
            <w:r>
              <w:t>People with Disabilities</w:t>
            </w:r>
          </w:p>
        </w:tc>
        <w:tc>
          <w:tcPr>
            <w:tcW w:w="1925" w:type="dxa"/>
          </w:tcPr>
          <w:p w14:paraId="1C2B4FBC" w14:textId="3606E175" w:rsidR="00233167" w:rsidRDefault="7F6D0018" w:rsidP="00233167">
            <w:pPr>
              <w:pStyle w:val="BodyText"/>
              <w:rPr>
                <w:lang w:val="en-US"/>
              </w:rPr>
            </w:pPr>
            <w:r>
              <w:t>Ethnic Minority Groups</w:t>
            </w:r>
          </w:p>
        </w:tc>
        <w:tc>
          <w:tcPr>
            <w:tcW w:w="1926" w:type="dxa"/>
            <w:shd w:val="clear" w:color="auto" w:fill="EC0080" w:themeFill="accent3"/>
          </w:tcPr>
          <w:p w14:paraId="449E9DF0" w14:textId="219A349F" w:rsidR="00233167" w:rsidRDefault="7F6D0018" w:rsidP="00233167">
            <w:pPr>
              <w:pStyle w:val="BodyText"/>
              <w:rPr>
                <w:lang w:val="en-US"/>
              </w:rPr>
            </w:pPr>
            <w:r>
              <w:t>Women</w:t>
            </w:r>
          </w:p>
        </w:tc>
        <w:tc>
          <w:tcPr>
            <w:tcW w:w="1926" w:type="dxa"/>
            <w:shd w:val="clear" w:color="auto" w:fill="F89C1C" w:themeFill="accent2"/>
          </w:tcPr>
          <w:p w14:paraId="141DD456" w14:textId="4768277D" w:rsidR="00233167" w:rsidRDefault="7F6D0018" w:rsidP="00233167">
            <w:pPr>
              <w:pStyle w:val="BodyText"/>
              <w:rPr>
                <w:lang w:val="en-US"/>
              </w:rPr>
            </w:pPr>
            <w:r>
              <w:t>Job Seekers</w:t>
            </w:r>
          </w:p>
        </w:tc>
        <w:tc>
          <w:tcPr>
            <w:tcW w:w="1926" w:type="dxa"/>
            <w:shd w:val="clear" w:color="auto" w:fill="881866" w:themeFill="accent5"/>
          </w:tcPr>
          <w:p w14:paraId="57679A0B" w14:textId="32D14C04" w:rsidR="00233167" w:rsidRDefault="7F6D0018" w:rsidP="00233167">
            <w:pPr>
              <w:pStyle w:val="BodyText"/>
              <w:rPr>
                <w:lang w:val="en-US"/>
              </w:rPr>
            </w:pPr>
            <w:r>
              <w:t>Migrants</w:t>
            </w:r>
          </w:p>
        </w:tc>
      </w:tr>
      <w:tr w:rsidR="00704432" w14:paraId="2EA19231" w14:textId="77777777" w:rsidTr="4091DAC8">
        <w:tc>
          <w:tcPr>
            <w:tcW w:w="1925" w:type="dxa"/>
          </w:tcPr>
          <w:p w14:paraId="54D1B648" w14:textId="77777777" w:rsidR="004F2EAE" w:rsidRPr="004F2EAE" w:rsidRDefault="7F6D0018" w:rsidP="4091DAC8">
            <w:pPr>
              <w:pStyle w:val="BodyText"/>
              <w:numPr>
                <w:ilvl w:val="0"/>
                <w:numId w:val="25"/>
              </w:numPr>
              <w:rPr>
                <w:sz w:val="20"/>
              </w:rPr>
            </w:pPr>
            <w:r w:rsidRPr="4091DAC8">
              <w:rPr>
                <w:sz w:val="20"/>
              </w:rPr>
              <w:t>More likely to be restricted from work due to shielding requirements</w:t>
            </w:r>
          </w:p>
          <w:p w14:paraId="0C4ABC28" w14:textId="77777777" w:rsidR="004F2EAE" w:rsidRPr="004F2EAE" w:rsidRDefault="7F6D0018" w:rsidP="4091DAC8">
            <w:pPr>
              <w:pStyle w:val="BodyText"/>
              <w:numPr>
                <w:ilvl w:val="0"/>
                <w:numId w:val="25"/>
              </w:numPr>
              <w:rPr>
                <w:sz w:val="20"/>
              </w:rPr>
            </w:pPr>
            <w:r w:rsidRPr="4091DAC8">
              <w:rPr>
                <w:sz w:val="20"/>
              </w:rPr>
              <w:t>Those on legacy benefits were excluded from the Universal credit uplift</w:t>
            </w:r>
          </w:p>
          <w:p w14:paraId="2A20EF66" w14:textId="77777777" w:rsidR="004F2EAE" w:rsidRPr="004F2EAE" w:rsidRDefault="7F6D0018" w:rsidP="4091DAC8">
            <w:pPr>
              <w:pStyle w:val="BodyText"/>
              <w:numPr>
                <w:ilvl w:val="0"/>
                <w:numId w:val="25"/>
              </w:numPr>
              <w:rPr>
                <w:sz w:val="20"/>
              </w:rPr>
            </w:pPr>
            <w:r w:rsidRPr="4091DAC8">
              <w:rPr>
                <w:sz w:val="20"/>
              </w:rPr>
              <w:t>Now facing higher costs, reduced income, and new labour market challenges</w:t>
            </w:r>
          </w:p>
          <w:p w14:paraId="4C8CDD9E" w14:textId="62958158" w:rsidR="004F2EAE" w:rsidRPr="004F2EAE" w:rsidRDefault="7F6D0018" w:rsidP="4091DAC8">
            <w:pPr>
              <w:pStyle w:val="BodyText"/>
              <w:numPr>
                <w:ilvl w:val="0"/>
                <w:numId w:val="25"/>
              </w:numPr>
              <w:rPr>
                <w:sz w:val="20"/>
              </w:rPr>
            </w:pPr>
            <w:r w:rsidRPr="4091DAC8">
              <w:rPr>
                <w:sz w:val="20"/>
              </w:rPr>
              <w:t xml:space="preserve">63% of disabled male workers and 67% of disabled female workers had </w:t>
            </w:r>
            <w:r w:rsidRPr="4091DAC8">
              <w:rPr>
                <w:sz w:val="20"/>
              </w:rPr>
              <w:lastRenderedPageBreak/>
              <w:t>employment affected due to Covid-19 (compared to 43% and 50% of non-disabled workers respectively)</w:t>
            </w:r>
            <w:r w:rsidR="00DD50B8" w:rsidRPr="4091DAC8">
              <w:rPr>
                <w:rStyle w:val="FootnoteReference"/>
                <w:sz w:val="20"/>
              </w:rPr>
              <w:footnoteReference w:id="49"/>
            </w:r>
          </w:p>
          <w:p w14:paraId="1A352654" w14:textId="164C5AE1" w:rsidR="00233167" w:rsidRPr="00734EFB" w:rsidRDefault="7F6D0018" w:rsidP="4091DAC8">
            <w:pPr>
              <w:pStyle w:val="BodyText"/>
              <w:numPr>
                <w:ilvl w:val="0"/>
                <w:numId w:val="25"/>
              </w:numPr>
              <w:rPr>
                <w:sz w:val="20"/>
              </w:rPr>
            </w:pPr>
            <w:r w:rsidRPr="4091DAC8">
              <w:rPr>
                <w:sz w:val="20"/>
              </w:rPr>
              <w:t xml:space="preserve">25.5% of unpaid carers increased caring </w:t>
            </w:r>
            <w:r w:rsidR="66CCD71E" w:rsidRPr="4091DAC8">
              <w:rPr>
                <w:sz w:val="20"/>
              </w:rPr>
              <w:t>responsibilities</w:t>
            </w:r>
            <w:r w:rsidRPr="4091DAC8">
              <w:rPr>
                <w:sz w:val="20"/>
              </w:rPr>
              <w:t xml:space="preserve"> during Covid-19</w:t>
            </w:r>
            <w:r w:rsidR="00704432" w:rsidRPr="4091DAC8">
              <w:rPr>
                <w:rStyle w:val="FootnoteReference"/>
                <w:sz w:val="20"/>
              </w:rPr>
              <w:footnoteReference w:id="50"/>
            </w:r>
          </w:p>
        </w:tc>
        <w:tc>
          <w:tcPr>
            <w:tcW w:w="1925" w:type="dxa"/>
          </w:tcPr>
          <w:p w14:paraId="7C12866E" w14:textId="77777777" w:rsidR="004F2EAE" w:rsidRPr="004F2EAE" w:rsidRDefault="7F6D0018" w:rsidP="4091DAC8">
            <w:pPr>
              <w:pStyle w:val="BodyText"/>
              <w:numPr>
                <w:ilvl w:val="0"/>
                <w:numId w:val="25"/>
              </w:numPr>
              <w:rPr>
                <w:sz w:val="20"/>
              </w:rPr>
            </w:pPr>
            <w:r w:rsidRPr="4091DAC8">
              <w:rPr>
                <w:sz w:val="20"/>
              </w:rPr>
              <w:lastRenderedPageBreak/>
              <w:t>Over-represented in the workforce of sectors that had to shut down</w:t>
            </w:r>
          </w:p>
          <w:p w14:paraId="6DBC1183" w14:textId="77777777" w:rsidR="004F2EAE" w:rsidRPr="004F2EAE" w:rsidRDefault="7F6D0018" w:rsidP="4091DAC8">
            <w:pPr>
              <w:pStyle w:val="BodyText"/>
              <w:numPr>
                <w:ilvl w:val="0"/>
                <w:numId w:val="25"/>
              </w:numPr>
              <w:rPr>
                <w:sz w:val="20"/>
              </w:rPr>
            </w:pPr>
            <w:r w:rsidRPr="4091DAC8">
              <w:rPr>
                <w:sz w:val="20"/>
              </w:rPr>
              <w:t>More likely to be self employed</w:t>
            </w:r>
          </w:p>
          <w:p w14:paraId="62F8C08E" w14:textId="77777777" w:rsidR="004F2EAE" w:rsidRPr="004F2EAE" w:rsidRDefault="7F6D0018" w:rsidP="4091DAC8">
            <w:pPr>
              <w:pStyle w:val="BodyText"/>
              <w:numPr>
                <w:ilvl w:val="0"/>
                <w:numId w:val="25"/>
              </w:numPr>
              <w:rPr>
                <w:sz w:val="20"/>
              </w:rPr>
            </w:pPr>
            <w:r w:rsidRPr="4091DAC8">
              <w:rPr>
                <w:sz w:val="20"/>
              </w:rPr>
              <w:t>More likely to be working outside of their homes during the pandemic - increasing health risk</w:t>
            </w:r>
          </w:p>
          <w:p w14:paraId="7BFFEC10" w14:textId="77777777" w:rsidR="004F2EAE" w:rsidRPr="004F2EAE" w:rsidRDefault="7F6D0018" w:rsidP="4091DAC8">
            <w:pPr>
              <w:pStyle w:val="BodyText"/>
              <w:numPr>
                <w:ilvl w:val="0"/>
                <w:numId w:val="25"/>
              </w:numPr>
              <w:rPr>
                <w:sz w:val="20"/>
              </w:rPr>
            </w:pPr>
            <w:r w:rsidRPr="4091DAC8">
              <w:rPr>
                <w:sz w:val="20"/>
              </w:rPr>
              <w:t>Less likely to have a partner in paid work</w:t>
            </w:r>
          </w:p>
          <w:p w14:paraId="241011E8" w14:textId="77777777" w:rsidR="004F2EAE" w:rsidRPr="004F2EAE" w:rsidRDefault="7F6D0018" w:rsidP="4091DAC8">
            <w:pPr>
              <w:pStyle w:val="BodyText"/>
              <w:numPr>
                <w:ilvl w:val="0"/>
                <w:numId w:val="25"/>
              </w:numPr>
              <w:rPr>
                <w:sz w:val="20"/>
              </w:rPr>
            </w:pPr>
            <w:r w:rsidRPr="4091DAC8">
              <w:rPr>
                <w:sz w:val="20"/>
              </w:rPr>
              <w:t xml:space="preserve">Less likely to have savings to cover </w:t>
            </w:r>
            <w:r w:rsidRPr="4091DAC8">
              <w:rPr>
                <w:sz w:val="20"/>
              </w:rPr>
              <w:lastRenderedPageBreak/>
              <w:t>financial hardship</w:t>
            </w:r>
          </w:p>
          <w:p w14:paraId="178BC0EF" w14:textId="289B6BDA" w:rsidR="004F2EAE" w:rsidRPr="004F2EAE" w:rsidRDefault="7F6D0018" w:rsidP="4091DAC8">
            <w:pPr>
              <w:pStyle w:val="BodyText"/>
              <w:numPr>
                <w:ilvl w:val="0"/>
                <w:numId w:val="25"/>
              </w:numPr>
              <w:rPr>
                <w:sz w:val="20"/>
              </w:rPr>
            </w:pPr>
            <w:r w:rsidRPr="4091DAC8">
              <w:rPr>
                <w:sz w:val="20"/>
              </w:rPr>
              <w:t>Racism increased during the pandemic, with those from ethnic minorities seven times more likely than white people to be fined for violating lockdown rules</w:t>
            </w:r>
            <w:r w:rsidR="002903CE" w:rsidRPr="4091DAC8">
              <w:rPr>
                <w:rStyle w:val="FootnoteReference"/>
                <w:sz w:val="20"/>
              </w:rPr>
              <w:footnoteReference w:id="51"/>
            </w:r>
          </w:p>
          <w:p w14:paraId="040C2F5F" w14:textId="77777777" w:rsidR="00233167" w:rsidRPr="00734EFB" w:rsidRDefault="00233167" w:rsidP="4091DAC8">
            <w:pPr>
              <w:pStyle w:val="BodyText"/>
              <w:rPr>
                <w:sz w:val="20"/>
                <w:lang w:val="en-US"/>
              </w:rPr>
            </w:pPr>
          </w:p>
        </w:tc>
        <w:tc>
          <w:tcPr>
            <w:tcW w:w="1926" w:type="dxa"/>
          </w:tcPr>
          <w:p w14:paraId="79AB329C" w14:textId="77777777" w:rsidR="00D03C6D" w:rsidRPr="00D03C6D" w:rsidRDefault="59F7ED71" w:rsidP="4091DAC8">
            <w:pPr>
              <w:pStyle w:val="BodyText"/>
              <w:numPr>
                <w:ilvl w:val="0"/>
                <w:numId w:val="25"/>
              </w:numPr>
              <w:rPr>
                <w:sz w:val="20"/>
              </w:rPr>
            </w:pPr>
            <w:r w:rsidRPr="4091DAC8">
              <w:rPr>
                <w:sz w:val="20"/>
              </w:rPr>
              <w:lastRenderedPageBreak/>
              <w:t>Many forms of domestic violence increased during the pandemic</w:t>
            </w:r>
          </w:p>
          <w:p w14:paraId="37C190AF" w14:textId="23EDE233" w:rsidR="00D03C6D" w:rsidRPr="00D03C6D" w:rsidRDefault="59F7ED71" w:rsidP="4091DAC8">
            <w:pPr>
              <w:pStyle w:val="BodyText"/>
              <w:numPr>
                <w:ilvl w:val="0"/>
                <w:numId w:val="25"/>
              </w:numPr>
              <w:rPr>
                <w:sz w:val="20"/>
              </w:rPr>
            </w:pPr>
            <w:r w:rsidRPr="4091DAC8">
              <w:rPr>
                <w:sz w:val="20"/>
              </w:rPr>
              <w:t>Pakistani and Bangladeshi women faced the lowest pay rates of any ethnic group</w:t>
            </w:r>
            <w:r w:rsidR="008F7638" w:rsidRPr="4091DAC8">
              <w:rPr>
                <w:rStyle w:val="FootnoteReference"/>
                <w:sz w:val="20"/>
              </w:rPr>
              <w:footnoteReference w:id="52"/>
            </w:r>
          </w:p>
          <w:p w14:paraId="17D84B24" w14:textId="27A2E256" w:rsidR="00D03C6D" w:rsidRPr="00D03C6D" w:rsidRDefault="59F7ED71" w:rsidP="4091DAC8">
            <w:pPr>
              <w:pStyle w:val="BodyText"/>
              <w:numPr>
                <w:ilvl w:val="0"/>
                <w:numId w:val="25"/>
              </w:numPr>
              <w:rPr>
                <w:sz w:val="20"/>
              </w:rPr>
            </w:pPr>
            <w:r w:rsidRPr="4091DAC8">
              <w:rPr>
                <w:sz w:val="20"/>
              </w:rPr>
              <w:t>7 in 10 women were refused furlough, with disproportionate impacts on young and ethnic minority women</w:t>
            </w:r>
            <w:r w:rsidR="00D81AF7" w:rsidRPr="4091DAC8">
              <w:rPr>
                <w:rStyle w:val="FootnoteReference"/>
                <w:sz w:val="20"/>
              </w:rPr>
              <w:footnoteReference w:id="53"/>
            </w:r>
          </w:p>
          <w:p w14:paraId="62821498" w14:textId="77777777" w:rsidR="00233167" w:rsidRPr="00D03C6D" w:rsidRDefault="00233167" w:rsidP="4091DAC8">
            <w:pPr>
              <w:pStyle w:val="BodyText"/>
              <w:rPr>
                <w:sz w:val="20"/>
                <w:lang w:val="en-US"/>
              </w:rPr>
            </w:pPr>
          </w:p>
        </w:tc>
        <w:tc>
          <w:tcPr>
            <w:tcW w:w="1926" w:type="dxa"/>
          </w:tcPr>
          <w:p w14:paraId="268AA121" w14:textId="77777777" w:rsidR="00D03C6D" w:rsidRPr="00D03C6D" w:rsidRDefault="59F7ED71" w:rsidP="4091DAC8">
            <w:pPr>
              <w:pStyle w:val="BodyText"/>
              <w:numPr>
                <w:ilvl w:val="0"/>
                <w:numId w:val="25"/>
              </w:numPr>
              <w:rPr>
                <w:sz w:val="20"/>
              </w:rPr>
            </w:pPr>
            <w:r w:rsidRPr="4091DAC8">
              <w:rPr>
                <w:sz w:val="20"/>
              </w:rPr>
              <w:t>Applying for National Insurance numbers was delayed during the pandemic, preventing individuals from entering the workforce</w:t>
            </w:r>
          </w:p>
          <w:p w14:paraId="2F543100" w14:textId="77777777" w:rsidR="00D03C6D" w:rsidRPr="00D03C6D" w:rsidRDefault="59F7ED71" w:rsidP="4091DAC8">
            <w:pPr>
              <w:pStyle w:val="BodyText"/>
              <w:numPr>
                <w:ilvl w:val="0"/>
                <w:numId w:val="25"/>
              </w:numPr>
              <w:rPr>
                <w:sz w:val="20"/>
              </w:rPr>
            </w:pPr>
            <w:r w:rsidRPr="4091DAC8">
              <w:rPr>
                <w:sz w:val="20"/>
              </w:rPr>
              <w:t>Significant delays were seen in accessing Universal Credit</w:t>
            </w:r>
          </w:p>
          <w:p w14:paraId="335CF731" w14:textId="77777777" w:rsidR="00233167" w:rsidRPr="00D03C6D" w:rsidRDefault="00233167" w:rsidP="4091DAC8">
            <w:pPr>
              <w:pStyle w:val="BodyText"/>
              <w:rPr>
                <w:sz w:val="20"/>
                <w:lang w:val="en-US"/>
              </w:rPr>
            </w:pPr>
          </w:p>
        </w:tc>
        <w:tc>
          <w:tcPr>
            <w:tcW w:w="1926" w:type="dxa"/>
          </w:tcPr>
          <w:p w14:paraId="49677CBF" w14:textId="6774AD09" w:rsidR="00D03C6D" w:rsidRPr="00D03C6D" w:rsidRDefault="59F7ED71" w:rsidP="4091DAC8">
            <w:pPr>
              <w:pStyle w:val="BodyText"/>
              <w:numPr>
                <w:ilvl w:val="0"/>
                <w:numId w:val="25"/>
              </w:numPr>
              <w:rPr>
                <w:sz w:val="20"/>
              </w:rPr>
            </w:pPr>
            <w:r w:rsidRPr="4091DAC8">
              <w:rPr>
                <w:sz w:val="20"/>
              </w:rPr>
              <w:t>20% of migrants who were working prior to Covid-19 lost their job during the pandemic, rising to 44% of those working in cleaning and hospitality</w:t>
            </w:r>
            <w:r w:rsidR="008A6E34" w:rsidRPr="4091DAC8">
              <w:rPr>
                <w:rStyle w:val="FootnoteReference"/>
                <w:sz w:val="20"/>
              </w:rPr>
              <w:footnoteReference w:id="54"/>
            </w:r>
          </w:p>
          <w:p w14:paraId="2229848E" w14:textId="7C194ED4" w:rsidR="00D03C6D" w:rsidRPr="00D03C6D" w:rsidRDefault="59F7ED71" w:rsidP="4091DAC8">
            <w:pPr>
              <w:pStyle w:val="BodyText"/>
              <w:numPr>
                <w:ilvl w:val="0"/>
                <w:numId w:val="25"/>
              </w:numPr>
              <w:rPr>
                <w:sz w:val="20"/>
              </w:rPr>
            </w:pPr>
            <w:r w:rsidRPr="4091DAC8">
              <w:rPr>
                <w:sz w:val="20"/>
              </w:rPr>
              <w:t xml:space="preserve">Migrants with NRPF were 52% more likely to say it was not possible to safely </w:t>
            </w:r>
            <w:proofErr w:type="spellStart"/>
            <w:r w:rsidRPr="4091DAC8">
              <w:rPr>
                <w:sz w:val="20"/>
              </w:rPr>
              <w:t>self isolate</w:t>
            </w:r>
            <w:proofErr w:type="spellEnd"/>
            <w:r w:rsidRPr="4091DAC8">
              <w:rPr>
                <w:sz w:val="20"/>
              </w:rPr>
              <w:t xml:space="preserve"> in their homes</w:t>
            </w:r>
            <w:r w:rsidR="008A6E34" w:rsidRPr="4091DAC8">
              <w:rPr>
                <w:rStyle w:val="FootnoteReference"/>
                <w:sz w:val="20"/>
              </w:rPr>
              <w:footnoteReference w:id="55"/>
            </w:r>
          </w:p>
          <w:p w14:paraId="1083E2D4" w14:textId="77777777" w:rsidR="00233167" w:rsidRPr="00D03C6D" w:rsidRDefault="00233167" w:rsidP="4091DAC8">
            <w:pPr>
              <w:pStyle w:val="BodyText"/>
              <w:rPr>
                <w:sz w:val="20"/>
                <w:lang w:val="en-US"/>
              </w:rPr>
            </w:pPr>
          </w:p>
        </w:tc>
      </w:tr>
    </w:tbl>
    <w:p w14:paraId="3FDC149B" w14:textId="7CA06A79" w:rsidR="00546267" w:rsidRPr="00546267" w:rsidRDefault="00546267" w:rsidP="00546267">
      <w:pPr>
        <w:pStyle w:val="BodyText"/>
        <w:rPr>
          <w:lang w:val="en-US"/>
        </w:rPr>
      </w:pPr>
    </w:p>
    <w:p w14:paraId="1454C781" w14:textId="4B446213" w:rsidR="00546267" w:rsidRPr="00A525BB" w:rsidRDefault="00546267" w:rsidP="00546267">
      <w:pPr>
        <w:pStyle w:val="Heading3"/>
        <w:rPr>
          <w:lang w:val="en-US"/>
        </w:rPr>
      </w:pPr>
      <w:r>
        <w:t xml:space="preserve">The </w:t>
      </w:r>
      <w:proofErr w:type="gramStart"/>
      <w:r>
        <w:t>cost of living</w:t>
      </w:r>
      <w:proofErr w:type="gramEnd"/>
      <w:r>
        <w:t xml:space="preserve"> crisis</w:t>
      </w:r>
    </w:p>
    <w:p w14:paraId="55A41CD7" w14:textId="0F4EAD1F" w:rsidR="00546267" w:rsidRPr="00546267" w:rsidRDefault="00F172E1" w:rsidP="00546267">
      <w:pPr>
        <w:pStyle w:val="BodyText"/>
        <w:rPr>
          <w:lang w:val="en-US"/>
        </w:rPr>
      </w:pPr>
      <w:r w:rsidRPr="00A525BB">
        <w:rPr>
          <w:lang w:val="en-US"/>
        </w:rPr>
        <w:t xml:space="preserve">The </w:t>
      </w:r>
      <w:proofErr w:type="gramStart"/>
      <w:r w:rsidRPr="00A525BB">
        <w:rPr>
          <w:lang w:val="en-US"/>
        </w:rPr>
        <w:t>cost of living</w:t>
      </w:r>
      <w:proofErr w:type="gramEnd"/>
      <w:r w:rsidRPr="00A525BB">
        <w:rPr>
          <w:lang w:val="en-US"/>
        </w:rPr>
        <w:t xml:space="preserve"> crisis is likely to exacerbate existing inequalities and increase financial hardship for those already struggling:</w:t>
      </w:r>
      <w:r w:rsidR="00A6015D" w:rsidRPr="00A525BB">
        <w:rPr>
          <w:lang w:val="en-US"/>
        </w:rPr>
        <w:t xml:space="preserve"> </w:t>
      </w:r>
      <w:r w:rsidR="00A6015D" w:rsidRPr="00A525BB">
        <w:t>th</w:t>
      </w:r>
      <w:r w:rsidR="00546267" w:rsidRPr="00A525BB">
        <w:t>e National Institute for Economic &amp; Social Research (NIESR) warned that economic destitution would hit a further 250,000 UK households in 2023, bringing the total number of those in "extreme poverty" to roughly 1.2 million</w:t>
      </w:r>
      <w:r w:rsidR="00E63478" w:rsidRPr="00A525BB">
        <w:rPr>
          <w:rStyle w:val="FootnoteReference"/>
        </w:rPr>
        <w:footnoteReference w:id="56"/>
      </w:r>
      <w:r w:rsidR="00A6015D" w:rsidRPr="00A525BB">
        <w:t>.</w:t>
      </w:r>
    </w:p>
    <w:p w14:paraId="274E8DB4" w14:textId="67A4B015" w:rsidR="00D70A42" w:rsidRPr="00FB0A08" w:rsidRDefault="00D70A42" w:rsidP="00D70A42">
      <w:pPr>
        <w:pStyle w:val="Heading2"/>
        <w:rPr>
          <w:lang w:val="en-US"/>
        </w:rPr>
      </w:pPr>
      <w:bookmarkStart w:id="5" w:name="_Toc109210579"/>
      <w:r>
        <w:lastRenderedPageBreak/>
        <w:t>What is being done to stop financial hardship occurring?</w:t>
      </w:r>
      <w:bookmarkEnd w:id="5"/>
    </w:p>
    <w:p w14:paraId="1B25F5C1" w14:textId="44C99187" w:rsidR="00C514C3" w:rsidRPr="00FB0A08" w:rsidRDefault="001A3218" w:rsidP="0008080B">
      <w:pPr>
        <w:pStyle w:val="BodyText"/>
        <w:rPr>
          <w:rStyle w:val="normaltextrun"/>
        </w:rPr>
      </w:pPr>
      <w:r w:rsidRPr="4091DAC8">
        <w:rPr>
          <w:rStyle w:val="normaltextrun"/>
        </w:rPr>
        <w:t xml:space="preserve">While the situation for financial hardship may seem bleak, </w:t>
      </w:r>
      <w:r w:rsidR="00C514C3" w:rsidRPr="4091DAC8">
        <w:rPr>
          <w:rStyle w:val="normaltextrun"/>
        </w:rPr>
        <w:t>many organisations and individuals are working hard to prevent it from occurring and to reduce its effects. Key areas of voluntary sector activity include:</w:t>
      </w:r>
    </w:p>
    <w:p w14:paraId="33706EDD" w14:textId="38670C34" w:rsidR="00843B3E" w:rsidRPr="00FB0A08" w:rsidRDefault="00843B3E" w:rsidP="00843B3E">
      <w:pPr>
        <w:pStyle w:val="ListBullet"/>
        <w:rPr>
          <w:rStyle w:val="normaltextrun"/>
        </w:rPr>
      </w:pPr>
      <w:r w:rsidRPr="4091DAC8">
        <w:rPr>
          <w:rStyle w:val="normaltextrun"/>
        </w:rPr>
        <w:t>Lobbying for uplifts and expansion of benefits scheme</w:t>
      </w:r>
    </w:p>
    <w:p w14:paraId="50329538" w14:textId="46EB726E" w:rsidR="00843B3E" w:rsidRPr="00FB0A08" w:rsidRDefault="00843B3E" w:rsidP="00843B3E">
      <w:pPr>
        <w:pStyle w:val="ListBullet"/>
        <w:rPr>
          <w:rStyle w:val="normaltextrun"/>
        </w:rPr>
      </w:pPr>
      <w:r w:rsidRPr="4091DAC8">
        <w:rPr>
          <w:rStyle w:val="normaltextrun"/>
        </w:rPr>
        <w:t>Advocacy with employers for improvements in employment practices</w:t>
      </w:r>
    </w:p>
    <w:p w14:paraId="143308CC" w14:textId="7AD0A885" w:rsidR="003F36F2" w:rsidRPr="00FB0A08" w:rsidRDefault="003F36F2" w:rsidP="00843B3E">
      <w:pPr>
        <w:pStyle w:val="ListBullet"/>
        <w:rPr>
          <w:rStyle w:val="normaltextrun"/>
        </w:rPr>
      </w:pPr>
      <w:r w:rsidRPr="4091DAC8">
        <w:rPr>
          <w:rStyle w:val="normaltextrun"/>
        </w:rPr>
        <w:t xml:space="preserve">Advice services </w:t>
      </w:r>
      <w:r w:rsidR="003A683F" w:rsidRPr="4091DAC8">
        <w:rPr>
          <w:rStyle w:val="normaltextrun"/>
        </w:rPr>
        <w:t>supporting individuals to access full benefits to which they are entitled, as well as to find work</w:t>
      </w:r>
    </w:p>
    <w:p w14:paraId="387659AC" w14:textId="747FD496" w:rsidR="009D4DCD" w:rsidRPr="00FB0A08" w:rsidRDefault="009D4DCD" w:rsidP="00843B3E">
      <w:pPr>
        <w:pStyle w:val="ListBullet"/>
        <w:rPr>
          <w:rStyle w:val="normaltextrun"/>
        </w:rPr>
      </w:pPr>
      <w:r w:rsidRPr="4091DAC8">
        <w:rPr>
          <w:rStyle w:val="normaltextrun"/>
        </w:rPr>
        <w:t xml:space="preserve">Support and advocacy services helping individuals to </w:t>
      </w:r>
      <w:r w:rsidR="00F34608" w:rsidRPr="4091DAC8">
        <w:rPr>
          <w:rStyle w:val="normaltextrun"/>
        </w:rPr>
        <w:t>communicate with statutory bodies such as the Department for Work and Pensions and the Home Office</w:t>
      </w:r>
    </w:p>
    <w:p w14:paraId="1CB0BF45" w14:textId="75691D63" w:rsidR="003A683F" w:rsidRPr="00FB0A08" w:rsidRDefault="003A683F" w:rsidP="00843B3E">
      <w:pPr>
        <w:pStyle w:val="ListBullet"/>
        <w:rPr>
          <w:rStyle w:val="normaltextrun"/>
        </w:rPr>
      </w:pPr>
      <w:r w:rsidRPr="4091DAC8">
        <w:rPr>
          <w:rStyle w:val="normaltextrun"/>
        </w:rPr>
        <w:t>Support services for those in acute financial hardship, including small cash grants, fuel banks and food banks</w:t>
      </w:r>
    </w:p>
    <w:p w14:paraId="62416237" w14:textId="7D66E36E" w:rsidR="003A683F" w:rsidRDefault="003A683F" w:rsidP="00843B3E">
      <w:pPr>
        <w:pStyle w:val="ListBullet"/>
        <w:rPr>
          <w:rStyle w:val="normaltextrun"/>
        </w:rPr>
      </w:pPr>
      <w:r w:rsidRPr="4091DAC8">
        <w:rPr>
          <w:rStyle w:val="normaltextrun"/>
        </w:rPr>
        <w:t xml:space="preserve">Legal work that sees charities adopt “test cases” to </w:t>
      </w:r>
      <w:r w:rsidR="009D4DCD" w:rsidRPr="4091DAC8">
        <w:rPr>
          <w:rStyle w:val="normaltextrun"/>
        </w:rPr>
        <w:t>showcase individual rights in relation to financial hardship, which can then be used by others to advocate for their rights</w:t>
      </w:r>
    </w:p>
    <w:p w14:paraId="3FE09C94" w14:textId="4881B1B8" w:rsidR="006E36AD" w:rsidRDefault="006E36AD" w:rsidP="00843B3E">
      <w:pPr>
        <w:pStyle w:val="ListBullet"/>
        <w:rPr>
          <w:rStyle w:val="normaltextrun"/>
        </w:rPr>
      </w:pPr>
      <w:r w:rsidRPr="4091DAC8">
        <w:rPr>
          <w:rStyle w:val="normaltextrun"/>
        </w:rPr>
        <w:t>Data and measurement work looking to better understand the scope of financial hardship and use data to encourage radical action</w:t>
      </w:r>
    </w:p>
    <w:p w14:paraId="5DC5FDD0" w14:textId="7D3652EE" w:rsidR="00D75BBA" w:rsidRPr="00FB0A08" w:rsidRDefault="00D75BBA" w:rsidP="00843B3E">
      <w:pPr>
        <w:pStyle w:val="ListBullet"/>
        <w:rPr>
          <w:rStyle w:val="normaltextrun"/>
        </w:rPr>
      </w:pPr>
      <w:r w:rsidRPr="4091DAC8">
        <w:rPr>
          <w:rStyle w:val="normaltextrun"/>
        </w:rPr>
        <w:t>Preventative work, looking at supporting individuals upstream of falling into financial hardship</w:t>
      </w:r>
    </w:p>
    <w:p w14:paraId="67CA4598" w14:textId="7E45C7F7" w:rsidR="003F36F2" w:rsidRPr="00FB0A08" w:rsidRDefault="003F36F2" w:rsidP="003F36F2">
      <w:pPr>
        <w:pStyle w:val="ListBullet"/>
        <w:numPr>
          <w:ilvl w:val="0"/>
          <w:numId w:val="0"/>
        </w:numPr>
        <w:rPr>
          <w:rStyle w:val="normaltextrun"/>
        </w:rPr>
      </w:pPr>
      <w:r w:rsidRPr="4091DAC8">
        <w:rPr>
          <w:rStyle w:val="normaltextrun"/>
        </w:rPr>
        <w:t>Across the sector there is an increased focus on tackling the root causes of financial hardship, rather than treating the symptoms.</w:t>
      </w:r>
    </w:p>
    <w:p w14:paraId="7EC68325" w14:textId="2F8B8968" w:rsidR="009D4DCD" w:rsidRPr="002332E9" w:rsidRDefault="009D4DCD" w:rsidP="003F36F2">
      <w:pPr>
        <w:pStyle w:val="ListBullet"/>
        <w:numPr>
          <w:ilvl w:val="0"/>
          <w:numId w:val="0"/>
        </w:numPr>
        <w:rPr>
          <w:rStyle w:val="normaltextrun"/>
        </w:rPr>
      </w:pPr>
      <w:r w:rsidRPr="4091DAC8">
        <w:rPr>
          <w:rStyle w:val="normaltextrun"/>
        </w:rPr>
        <w:t>There is also a focus on increased collaboration between stakeholders, such as:</w:t>
      </w:r>
    </w:p>
    <w:p w14:paraId="3818C49D" w14:textId="1C5D468C" w:rsidR="0011798F" w:rsidRPr="002332E9" w:rsidRDefault="0011798F" w:rsidP="00990461">
      <w:pPr>
        <w:pStyle w:val="ListBullet"/>
        <w:numPr>
          <w:ilvl w:val="0"/>
          <w:numId w:val="8"/>
        </w:numPr>
        <w:rPr>
          <w:rStyle w:val="normaltextrun"/>
        </w:rPr>
      </w:pPr>
      <w:r w:rsidRPr="4091DAC8">
        <w:rPr>
          <w:rStyle w:val="normaltextrun"/>
        </w:rPr>
        <w:t xml:space="preserve">The </w:t>
      </w:r>
      <w:hyperlink r:id="rId12">
        <w:r w:rsidRPr="4091DAC8">
          <w:rPr>
            <w:rStyle w:val="Hyperlink"/>
          </w:rPr>
          <w:t>Commission</w:t>
        </w:r>
        <w:r w:rsidR="00F7742C" w:rsidRPr="4091DAC8">
          <w:rPr>
            <w:rStyle w:val="Hyperlink"/>
          </w:rPr>
          <w:t xml:space="preserve"> on</w:t>
        </w:r>
        <w:r w:rsidRPr="4091DAC8">
          <w:rPr>
            <w:rStyle w:val="Hyperlink"/>
          </w:rPr>
          <w:t xml:space="preserve"> Social Security</w:t>
        </w:r>
      </w:hyperlink>
      <w:r w:rsidRPr="4091DAC8">
        <w:rPr>
          <w:rStyle w:val="normaltextrun"/>
        </w:rPr>
        <w:t>, a collaboration of those with experience of the social security system, that has developed radical proposals for a decent social security system</w:t>
      </w:r>
    </w:p>
    <w:p w14:paraId="39A9EA53" w14:textId="6CCD51B7" w:rsidR="0011798F" w:rsidRPr="002332E9" w:rsidRDefault="0011798F" w:rsidP="00990461">
      <w:pPr>
        <w:pStyle w:val="ListBullet"/>
        <w:numPr>
          <w:ilvl w:val="0"/>
          <w:numId w:val="8"/>
        </w:numPr>
        <w:rPr>
          <w:rStyle w:val="normaltextrun"/>
        </w:rPr>
      </w:pPr>
      <w:r w:rsidRPr="002332E9">
        <w:rPr>
          <w:rStyle w:val="normaltextrun"/>
        </w:rPr>
        <w:t>A collaboration between the Oak Foundation (a funder) and Toynbee Hall (a charity) to develop and trial solutions to problem debt</w:t>
      </w:r>
      <w:r w:rsidR="00DF090D" w:rsidRPr="002332E9">
        <w:rPr>
          <w:rStyle w:val="FootnoteReference"/>
        </w:rPr>
        <w:footnoteReference w:id="57"/>
      </w:r>
    </w:p>
    <w:p w14:paraId="1E848C63" w14:textId="77873D7A" w:rsidR="001A3218" w:rsidRPr="002332E9" w:rsidRDefault="003D2532" w:rsidP="00990461">
      <w:pPr>
        <w:pStyle w:val="ListBullet"/>
        <w:numPr>
          <w:ilvl w:val="0"/>
          <w:numId w:val="8"/>
        </w:numPr>
      </w:pPr>
      <w:r w:rsidRPr="4091DAC8">
        <w:rPr>
          <w:rStyle w:val="normaltextrun"/>
        </w:rPr>
        <w:t xml:space="preserve">In Luton, </w:t>
      </w:r>
      <w:hyperlink r:id="rId13">
        <w:r w:rsidRPr="4091DAC8">
          <w:rPr>
            <w:rStyle w:val="Hyperlink"/>
          </w:rPr>
          <w:t>a collaboration between the public, private and voluntary sectors</w:t>
        </w:r>
      </w:hyperlink>
      <w:r w:rsidRPr="4091DAC8">
        <w:rPr>
          <w:rStyle w:val="normaltextrun"/>
        </w:rPr>
        <w:t xml:space="preserve"> to eradicate poverty in Luton by 2040, with a clear collective strategy and pledge for actio</w:t>
      </w:r>
      <w:r w:rsidR="00E45935" w:rsidRPr="4091DAC8">
        <w:rPr>
          <w:rStyle w:val="normaltextrun"/>
        </w:rPr>
        <w:t>n</w:t>
      </w:r>
    </w:p>
    <w:p w14:paraId="3403F71D" w14:textId="77CCCD82" w:rsidR="00D70A42" w:rsidRDefault="00D70A42" w:rsidP="00D70A42">
      <w:pPr>
        <w:pStyle w:val="Heading2"/>
        <w:rPr>
          <w:lang w:val="en-US"/>
        </w:rPr>
      </w:pPr>
      <w:bookmarkStart w:id="6" w:name="_Toc109210580"/>
      <w:r>
        <w:lastRenderedPageBreak/>
        <w:t>Where are the gaps in current provision?</w:t>
      </w:r>
      <w:bookmarkEnd w:id="6"/>
    </w:p>
    <w:p w14:paraId="4DAA3A2A" w14:textId="59658092" w:rsidR="00886289" w:rsidRDefault="00634D4A" w:rsidP="00634D4A">
      <w:pPr>
        <w:pStyle w:val="Heading3"/>
      </w:pPr>
      <w:r>
        <w:t>Gaps in current provision</w:t>
      </w:r>
    </w:p>
    <w:p w14:paraId="7681BF5E" w14:textId="351DC2E9" w:rsidR="00634D4A" w:rsidRPr="00D25F10" w:rsidRDefault="00D25F10" w:rsidP="00D25F10">
      <w:pPr>
        <w:pStyle w:val="ListBullet"/>
      </w:pPr>
      <w:r w:rsidRPr="4091DAC8">
        <w:rPr>
          <w:b/>
          <w:bCs/>
        </w:rPr>
        <w:t>Campaigns</w:t>
      </w:r>
      <w:r w:rsidR="001816E8" w:rsidRPr="4091DAC8">
        <w:rPr>
          <w:b/>
          <w:bCs/>
        </w:rPr>
        <w:t xml:space="preserve">: </w:t>
      </w:r>
      <w:r w:rsidR="001816E8">
        <w:t>there is a need for coordinate campaigns that aim to drive up wages and overhaul the social security system, as the two major structural factors that cause financial hardship.</w:t>
      </w:r>
    </w:p>
    <w:p w14:paraId="21A870BB" w14:textId="39B99F99" w:rsidR="00D25F10" w:rsidRPr="00D25F10" w:rsidRDefault="00D25F10" w:rsidP="00D25F10">
      <w:pPr>
        <w:pStyle w:val="ListBullet"/>
      </w:pPr>
      <w:r w:rsidRPr="4091DAC8">
        <w:rPr>
          <w:b/>
          <w:bCs/>
        </w:rPr>
        <w:t>Lack of capacity</w:t>
      </w:r>
      <w:r w:rsidR="006C5A73" w:rsidRPr="4091DAC8">
        <w:rPr>
          <w:b/>
          <w:bCs/>
        </w:rPr>
        <w:t xml:space="preserve">: </w:t>
      </w:r>
      <w:r w:rsidR="006C5A73">
        <w:t xml:space="preserve">nationally, financial hardship support struggles with a lack of capacity. </w:t>
      </w:r>
      <w:r w:rsidR="00144090">
        <w:t xml:space="preserve">However, funding and provision is also geographically unequal, </w:t>
      </w:r>
      <w:r w:rsidR="00303B21">
        <w:t>creating a postcode lottery.</w:t>
      </w:r>
      <w:r w:rsidR="003D5A62">
        <w:t xml:space="preserve"> There is too little funding for </w:t>
      </w:r>
      <w:r w:rsidR="00E22205">
        <w:t>work that tackles the root causes of financial hardship, and limited capacity for systems change work.</w:t>
      </w:r>
    </w:p>
    <w:p w14:paraId="0932D1FC" w14:textId="6F0F5776" w:rsidR="00D25F10" w:rsidRDefault="00D25F10" w:rsidP="00D25F10">
      <w:pPr>
        <w:pStyle w:val="ListBullet"/>
      </w:pPr>
      <w:r w:rsidRPr="4091DAC8">
        <w:rPr>
          <w:b/>
          <w:bCs/>
        </w:rPr>
        <w:t>Specific services</w:t>
      </w:r>
      <w:r w:rsidR="00526088" w:rsidRPr="4091DAC8">
        <w:rPr>
          <w:b/>
          <w:bCs/>
        </w:rPr>
        <w:t>:</w:t>
      </w:r>
      <w:r w:rsidR="00E71665" w:rsidRPr="4091DAC8">
        <w:rPr>
          <w:b/>
          <w:bCs/>
        </w:rPr>
        <w:t xml:space="preserve"> </w:t>
      </w:r>
      <w:r w:rsidR="00E71665">
        <w:t xml:space="preserve">debt advice, </w:t>
      </w:r>
      <w:r w:rsidR="00303B21">
        <w:t xml:space="preserve">general advice services, </w:t>
      </w:r>
      <w:r w:rsidR="00E71665">
        <w:t>community law services, mental health provision</w:t>
      </w:r>
      <w:r w:rsidR="00010799">
        <w:t xml:space="preserve"> / psychological support</w:t>
      </w:r>
      <w:r w:rsidR="00E71665">
        <w:t xml:space="preserve">, </w:t>
      </w:r>
      <w:r w:rsidR="00303B21">
        <w:t xml:space="preserve">provision of affordable internet access, </w:t>
      </w:r>
      <w:r w:rsidR="00E22205">
        <w:t xml:space="preserve">housing provision, </w:t>
      </w:r>
      <w:r w:rsidR="006C5A73">
        <w:t xml:space="preserve">and </w:t>
      </w:r>
      <w:r w:rsidR="00010799">
        <w:t>community transport</w:t>
      </w:r>
      <w:r w:rsidR="006C5A73">
        <w:t>.</w:t>
      </w:r>
      <w:r w:rsidR="00303B21">
        <w:t xml:space="preserve"> </w:t>
      </w:r>
    </w:p>
    <w:p w14:paraId="0A4B0D3F" w14:textId="0E018C64" w:rsidR="00886289" w:rsidRPr="003E69B1" w:rsidRDefault="00303B21" w:rsidP="003E69B1">
      <w:pPr>
        <w:pStyle w:val="ListBullet"/>
      </w:pPr>
      <w:r w:rsidRPr="4091DAC8">
        <w:rPr>
          <w:b/>
          <w:bCs/>
        </w:rPr>
        <w:t>Cash grants to individuals:</w:t>
      </w:r>
      <w:r w:rsidR="00020223" w:rsidRPr="4091DAC8">
        <w:rPr>
          <w:b/>
          <w:bCs/>
        </w:rPr>
        <w:t xml:space="preserve"> </w:t>
      </w:r>
      <w:r w:rsidR="00020223">
        <w:t xml:space="preserve">awarding unrestricted money directly to individuals to </w:t>
      </w:r>
      <w:r w:rsidR="003D5A62">
        <w:t>spend on alleviating financial hardship, or on escaping conditions that are causing their hardship such as domestic violence.</w:t>
      </w:r>
    </w:p>
    <w:p w14:paraId="5E624A5D" w14:textId="08295647" w:rsidR="00711B04" w:rsidRDefault="00711B04" w:rsidP="00711B04">
      <w:pPr>
        <w:pStyle w:val="Heading3"/>
      </w:pPr>
      <w:r>
        <w:t>Barriers to accessing support</w:t>
      </w:r>
    </w:p>
    <w:p w14:paraId="7BCBCCF7" w14:textId="77777777" w:rsidR="00711B04" w:rsidRPr="00AF3115" w:rsidRDefault="00711B04" w:rsidP="00711B04">
      <w:pPr>
        <w:pStyle w:val="BodyText"/>
      </w:pPr>
      <w:r>
        <w:t>Where provision does exist, there are numerous barriers that prevent those experiencing financial hardship from accessing support. These include:</w:t>
      </w:r>
    </w:p>
    <w:p w14:paraId="5483113F" w14:textId="734A0EB8" w:rsidR="00711B04" w:rsidRPr="00E34628" w:rsidRDefault="00711B04" w:rsidP="00711B04">
      <w:pPr>
        <w:pStyle w:val="ListBullet"/>
      </w:pPr>
      <w:r w:rsidRPr="00AF3115">
        <w:rPr>
          <w:b/>
          <w:bCs/>
        </w:rPr>
        <w:t xml:space="preserve">Awareness barriers: </w:t>
      </w:r>
      <w:r w:rsidRPr="00AF3115">
        <w:t xml:space="preserve">the Resident Voice Survey showed that </w:t>
      </w:r>
      <w:r w:rsidR="002D6150" w:rsidRPr="00AF3115">
        <w:t>60</w:t>
      </w:r>
      <w:r w:rsidRPr="00AF3115">
        <w:t xml:space="preserve">% of people didn’t know that </w:t>
      </w:r>
      <w:r w:rsidR="002D6150" w:rsidRPr="00AF3115">
        <w:t>help would be available to them in the event of a financial struggle, exhibited high levels of worry, and reported low levels of agency</w:t>
      </w:r>
      <w:r w:rsidR="00F210BA" w:rsidRPr="00AF3115">
        <w:rPr>
          <w:rStyle w:val="FootnoteReference"/>
        </w:rPr>
        <w:footnoteReference w:id="58"/>
      </w:r>
      <w:r w:rsidRPr="00AF3115">
        <w:t>. Many individuals with No Recourse to Public Funds automatically assume they are not eligible for support</w:t>
      </w:r>
      <w:r>
        <w:t>. Support that is available is often hard to find and only visible if you are already accessing support through related providers. Many in financial hardship often feel a sense of stigma in accessing support.</w:t>
      </w:r>
    </w:p>
    <w:p w14:paraId="43397EEB" w14:textId="77777777" w:rsidR="00711B04" w:rsidRDefault="00711B04" w:rsidP="00711B04">
      <w:pPr>
        <w:pStyle w:val="ListBullet"/>
      </w:pPr>
      <w:r w:rsidRPr="4091DAC8">
        <w:rPr>
          <w:b/>
          <w:bCs/>
        </w:rPr>
        <w:t xml:space="preserve">Accessibility barriers, </w:t>
      </w:r>
      <w:r>
        <w:t>including</w:t>
      </w:r>
      <w:r w:rsidRPr="4091DAC8">
        <w:rPr>
          <w:b/>
          <w:bCs/>
        </w:rPr>
        <w:t xml:space="preserve"> </w:t>
      </w:r>
      <w:r>
        <w:t xml:space="preserve">inaccessibility due to health conditions/disabilities, need for chaperones, lack of support in languages other than English, and support only being offered in urban centres. Additionally, a lot of support is designed to be generic / cover a broad </w:t>
      </w:r>
      <w:r>
        <w:lastRenderedPageBreak/>
        <w:t xml:space="preserve">audience, which deters those with specific needs or experiences that need to be </w:t>
      </w:r>
      <w:proofErr w:type="gramStart"/>
      <w:r>
        <w:t>taken into account</w:t>
      </w:r>
      <w:proofErr w:type="gramEnd"/>
      <w:r>
        <w:t>.</w:t>
      </w:r>
    </w:p>
    <w:p w14:paraId="0FC6DFD5" w14:textId="46655E8E" w:rsidR="00711B04" w:rsidRDefault="00711B04" w:rsidP="00711B04">
      <w:pPr>
        <w:pStyle w:val="ListBullet"/>
      </w:pPr>
      <w:r w:rsidRPr="4091DAC8">
        <w:rPr>
          <w:b/>
          <w:bCs/>
        </w:rPr>
        <w:t xml:space="preserve">Practical barriers: </w:t>
      </w:r>
      <w:r>
        <w:t xml:space="preserve">often support requires an internet connection to </w:t>
      </w:r>
      <w:proofErr w:type="gramStart"/>
      <w:r>
        <w:t>access, or</w:t>
      </w:r>
      <w:proofErr w:type="gramEnd"/>
      <w:r>
        <w:t xml:space="preserve"> requires an individual to fill out complicated forms with a high burden of evidence. Many schemes need an individual to be referred from a support worker, which can be hard for those without an existing relationship</w:t>
      </w:r>
      <w:r w:rsidR="003E69B1">
        <w:t>; or requires an individual to be on (for example) Universal Credit, which excludes those outside of the benefits system.</w:t>
      </w:r>
      <w:r>
        <w:t xml:space="preserve"> Overall, people are often in financial hardship because they struggle with systems, so support should try to minimise these formal barriers. Following Covid-19, a lot of </w:t>
      </w:r>
      <w:proofErr w:type="gramStart"/>
      <w:r>
        <w:t>face to face</w:t>
      </w:r>
      <w:proofErr w:type="gramEnd"/>
      <w:r>
        <w:t xml:space="preserve"> support still hasn’t resumed.</w:t>
      </w:r>
    </w:p>
    <w:p w14:paraId="5B85956A" w14:textId="77777777" w:rsidR="00711B04" w:rsidRDefault="00711B04" w:rsidP="00711B04">
      <w:pPr>
        <w:pStyle w:val="ListBullet"/>
      </w:pPr>
      <w:r w:rsidRPr="4091DAC8">
        <w:rPr>
          <w:b/>
          <w:bCs/>
        </w:rPr>
        <w:t>Barriers unique to financial hardship:</w:t>
      </w:r>
      <w:r>
        <w:t xml:space="preserve"> those on benefits often do not pursue support for fear of having their benefits cut. Those with limited financial hardship often can’t afford to attend appointments.</w:t>
      </w:r>
    </w:p>
    <w:p w14:paraId="2371C369" w14:textId="204006B8" w:rsidR="00711B04" w:rsidRDefault="00711B04" w:rsidP="0068082D">
      <w:pPr>
        <w:pStyle w:val="BodyText"/>
      </w:pPr>
      <w:r>
        <w:t>However, practitioners interviewed also set out that these barriers are often an intentional response to the fact that there isn’t enough support to go around, so barriers reduce demand (although inequitably).</w:t>
      </w:r>
      <w:r w:rsidR="00E50F1D">
        <w:t xml:space="preserve"> Barriers faced are highly personal and will often be affected by the intersection of identities</w:t>
      </w:r>
      <w:r w:rsidR="00FD3EF5">
        <w:t xml:space="preserve">, overlapping to create more complex barriers to support. </w:t>
      </w:r>
    </w:p>
    <w:p w14:paraId="7C47E6A6" w14:textId="2E10C7FA" w:rsidR="00886289" w:rsidRDefault="00634D4A" w:rsidP="00634D4A">
      <w:pPr>
        <w:pStyle w:val="Heading3"/>
      </w:pPr>
      <w:r>
        <w:t xml:space="preserve">Flaws in </w:t>
      </w:r>
      <w:r w:rsidR="004B7D5F">
        <w:t>service</w:t>
      </w:r>
      <w:r>
        <w:t xml:space="preserve"> design</w:t>
      </w:r>
    </w:p>
    <w:p w14:paraId="32C35C0F" w14:textId="51B8F2A4" w:rsidR="00711B04" w:rsidRDefault="000A077C" w:rsidP="00711B04">
      <w:pPr>
        <w:pStyle w:val="BodyText"/>
      </w:pPr>
      <w:r>
        <w:t xml:space="preserve">In addition to gaps in the services provided to those in financial hardship, </w:t>
      </w:r>
      <w:r w:rsidR="008E2C60">
        <w:t>research also highlighted shortcomings in the approach to designing services:</w:t>
      </w:r>
    </w:p>
    <w:p w14:paraId="3D70EB80" w14:textId="77777777" w:rsidR="00722051" w:rsidRDefault="008E2C60" w:rsidP="008E2C60">
      <w:pPr>
        <w:pStyle w:val="ListBullet"/>
      </w:pPr>
      <w:r w:rsidRPr="4091DAC8">
        <w:rPr>
          <w:b/>
          <w:bCs/>
        </w:rPr>
        <w:t>Collaboration</w:t>
      </w:r>
      <w:r w:rsidR="0011457B" w:rsidRPr="4091DAC8">
        <w:rPr>
          <w:b/>
          <w:bCs/>
        </w:rPr>
        <w:t xml:space="preserve">: </w:t>
      </w:r>
      <w:r w:rsidR="0011457B">
        <w:t xml:space="preserve">there is a need for increased collaboration both between organisations, and between an organisation and its service users. </w:t>
      </w:r>
    </w:p>
    <w:p w14:paraId="35AA0FDE" w14:textId="3A28A749" w:rsidR="00AF416B" w:rsidRDefault="00AF416B" w:rsidP="00722051">
      <w:pPr>
        <w:pStyle w:val="ListBullet"/>
        <w:numPr>
          <w:ilvl w:val="0"/>
          <w:numId w:val="0"/>
        </w:numPr>
        <w:ind w:left="568"/>
      </w:pPr>
      <w:r>
        <w:t xml:space="preserve">Organisations need to coordinate between services so that individuals receive support from the most relevant </w:t>
      </w:r>
      <w:proofErr w:type="gramStart"/>
      <w:r>
        <w:t>service, and</w:t>
      </w:r>
      <w:proofErr w:type="gramEnd"/>
      <w:r>
        <w:t xml:space="preserve"> gets all of the support they need for a particular issue. </w:t>
      </w:r>
      <w:r w:rsidR="00D109B9">
        <w:t xml:space="preserve">In relation to intersectionality, providers should seek to create </w:t>
      </w:r>
      <w:r w:rsidR="00103EE4">
        <w:t>a more holistic</w:t>
      </w:r>
      <w:r w:rsidR="00616E79">
        <w:t>ally minded</w:t>
      </w:r>
      <w:r w:rsidR="00103EE4">
        <w:t xml:space="preserve"> sector</w:t>
      </w:r>
      <w:r w:rsidR="00616E79">
        <w:t xml:space="preserve">. </w:t>
      </w:r>
      <w:r w:rsidR="0068082D">
        <w:t>Success should be understood by looking at overall rates of financial hardship rather than the success of any one programme.</w:t>
      </w:r>
    </w:p>
    <w:p w14:paraId="4B69D706" w14:textId="55490014" w:rsidR="008E2C60" w:rsidRPr="0011457B" w:rsidRDefault="00F42A17" w:rsidP="00AF416B">
      <w:pPr>
        <w:pStyle w:val="ListBullet"/>
        <w:numPr>
          <w:ilvl w:val="0"/>
          <w:numId w:val="0"/>
        </w:numPr>
        <w:ind w:left="568"/>
      </w:pPr>
      <w:r>
        <w:t>Organisations need to increasingly incorporate user involvement as they design new and refine existing services</w:t>
      </w:r>
      <w:r w:rsidR="0068082D">
        <w:t>, with adequate space for those with lived experience to build their confidence in inputting into these processes.</w:t>
      </w:r>
    </w:p>
    <w:p w14:paraId="792EA178" w14:textId="40860913" w:rsidR="008E2C60" w:rsidRPr="0011457B" w:rsidRDefault="008E2C60" w:rsidP="008E2C60">
      <w:pPr>
        <w:pStyle w:val="ListBullet"/>
      </w:pPr>
      <w:r w:rsidRPr="4091DAC8">
        <w:rPr>
          <w:b/>
          <w:bCs/>
        </w:rPr>
        <w:t>Funding</w:t>
      </w:r>
      <w:r w:rsidR="00C91ADA" w:rsidRPr="4091DAC8">
        <w:rPr>
          <w:b/>
          <w:bCs/>
        </w:rPr>
        <w:t xml:space="preserve">: </w:t>
      </w:r>
      <w:r w:rsidR="00C91ADA">
        <w:t>across the financial hardship sector, there is a lack of funding for proven initiatives that are working, due to a focus on funding new projects.</w:t>
      </w:r>
    </w:p>
    <w:p w14:paraId="1DB7840E" w14:textId="470B3F9D" w:rsidR="008E2C60" w:rsidRPr="0011457B" w:rsidRDefault="008E2C60" w:rsidP="008E2C60">
      <w:pPr>
        <w:pStyle w:val="ListBullet"/>
      </w:pPr>
      <w:r w:rsidRPr="4091DAC8">
        <w:rPr>
          <w:b/>
          <w:bCs/>
        </w:rPr>
        <w:lastRenderedPageBreak/>
        <w:t>Communication</w:t>
      </w:r>
      <w:r w:rsidR="00C91ADA" w:rsidRPr="4091DAC8">
        <w:rPr>
          <w:b/>
          <w:bCs/>
        </w:rPr>
        <w:t xml:space="preserve">: </w:t>
      </w:r>
      <w:r w:rsidR="00722051">
        <w:t xml:space="preserve">service providers need to better consider their communication strategies </w:t>
      </w:r>
      <w:proofErr w:type="gramStart"/>
      <w:r w:rsidR="00722051">
        <w:t>in order to</w:t>
      </w:r>
      <w:proofErr w:type="gramEnd"/>
      <w:r w:rsidR="00722051">
        <w:t xml:space="preserve"> counter the entrenched lack of awareness about what services are available to people, and what support they are entitled to.</w:t>
      </w:r>
    </w:p>
    <w:p w14:paraId="3866220D" w14:textId="7564E502" w:rsidR="00886289" w:rsidRPr="000B747C" w:rsidRDefault="0011457B" w:rsidP="00886289">
      <w:pPr>
        <w:pStyle w:val="ListBullet"/>
      </w:pPr>
      <w:r w:rsidRPr="4091DAC8">
        <w:rPr>
          <w:b/>
          <w:bCs/>
        </w:rPr>
        <w:t>Data</w:t>
      </w:r>
      <w:r w:rsidR="00722051" w:rsidRPr="4091DAC8">
        <w:rPr>
          <w:b/>
          <w:bCs/>
        </w:rPr>
        <w:t>:</w:t>
      </w:r>
      <w:r w:rsidR="00722051">
        <w:t xml:space="preserve"> the sector need to better use and grow data on key areas </w:t>
      </w:r>
      <w:proofErr w:type="gramStart"/>
      <w:r w:rsidR="00722051">
        <w:t>in order to</w:t>
      </w:r>
      <w:proofErr w:type="gramEnd"/>
      <w:r w:rsidR="00722051">
        <w:t xml:space="preserve"> more effectively make decisions. Shortcomings in data </w:t>
      </w:r>
      <w:proofErr w:type="gramStart"/>
      <w:r w:rsidR="00722051">
        <w:t>includes:</w:t>
      </w:r>
      <w:proofErr w:type="gramEnd"/>
      <w:r w:rsidR="00722051">
        <w:t xml:space="preserve"> statistics on income based poverty, </w:t>
      </w:r>
      <w:r w:rsidR="000B747C">
        <w:t>data on the impact of Covid-19 on different demographic groups; and evidence on the impact of user engagement on the outcomes of key programmes. Data also needs to be sufficiently detailed, for example to avoid a lack of support where pockets of deprivation are masked by overall affluence.</w:t>
      </w:r>
    </w:p>
    <w:p w14:paraId="745B55C7" w14:textId="34DF9951" w:rsidR="00EE64EC" w:rsidRDefault="00D70A42" w:rsidP="00EE64EC">
      <w:pPr>
        <w:pStyle w:val="Heading2"/>
        <w:tabs>
          <w:tab w:val="left" w:pos="6540"/>
        </w:tabs>
        <w:rPr>
          <w:lang w:val="en-US"/>
        </w:rPr>
      </w:pPr>
      <w:bookmarkStart w:id="7" w:name="_Toc109210581"/>
      <w:r>
        <w:t>What funding opportunities exist?</w:t>
      </w:r>
      <w:bookmarkEnd w:id="7"/>
    </w:p>
    <w:p w14:paraId="6A1666F7" w14:textId="4CA6C7AE" w:rsidR="003E0563" w:rsidRDefault="00165A73" w:rsidP="003E0563">
      <w:pPr>
        <w:pStyle w:val="BodyText"/>
      </w:pPr>
      <w:r>
        <w:t xml:space="preserve">As well as </w:t>
      </w:r>
      <w:r w:rsidRPr="4091DAC8">
        <w:rPr>
          <w:b/>
          <w:bCs/>
        </w:rPr>
        <w:t>taking action to reduce barriers to accessing existing support, plug gaps in existing services, and support organisations to overcome challenges in programme design</w:t>
      </w:r>
      <w:r w:rsidR="006D01FB">
        <w:t xml:space="preserve"> (as set out above);</w:t>
      </w:r>
      <w:r>
        <w:t xml:space="preserve"> opportunities for</w:t>
      </w:r>
      <w:r w:rsidR="003E0563">
        <w:t xml:space="preserve"> funders looking to support work alleviating financial hardship include:</w:t>
      </w:r>
    </w:p>
    <w:p w14:paraId="5C24CF25" w14:textId="61AB9B6D" w:rsidR="003E0563" w:rsidRDefault="000F1C2A" w:rsidP="003E0563">
      <w:pPr>
        <w:pStyle w:val="ListBullet"/>
      </w:pPr>
      <w:r>
        <w:t>Growing and sustaining proven initiatives</w:t>
      </w:r>
    </w:p>
    <w:p w14:paraId="530DBBA1" w14:textId="2EB84C99" w:rsidR="000F1C2A" w:rsidRDefault="000F1C2A" w:rsidP="003E0563">
      <w:pPr>
        <w:pStyle w:val="ListBullet"/>
      </w:pPr>
      <w:r>
        <w:t>Awarding funds to grassroots organisations working in hyper local communities</w:t>
      </w:r>
    </w:p>
    <w:p w14:paraId="383CA601" w14:textId="499A5194" w:rsidR="000F1C2A" w:rsidRDefault="000F1C2A" w:rsidP="003E0563">
      <w:pPr>
        <w:pStyle w:val="ListBullet"/>
      </w:pPr>
      <w:r>
        <w:t>Running test and learn programmes trying out different approaches and asking for feedback</w:t>
      </w:r>
    </w:p>
    <w:p w14:paraId="4E6E6C0B" w14:textId="41B894A8" w:rsidR="000F1C2A" w:rsidRDefault="000F1C2A" w:rsidP="003E0563">
      <w:pPr>
        <w:pStyle w:val="ListBullet"/>
      </w:pPr>
      <w:r>
        <w:t xml:space="preserve">Offering a hardship scheme that </w:t>
      </w:r>
      <w:r w:rsidR="00612118">
        <w:t>provides direct cash payments to individuals</w:t>
      </w:r>
    </w:p>
    <w:p w14:paraId="70156469" w14:textId="174D47C3" w:rsidR="00612118" w:rsidRDefault="00612118" w:rsidP="003E0563">
      <w:pPr>
        <w:pStyle w:val="ListBullet"/>
      </w:pPr>
      <w:r>
        <w:t>Investing in early years programmes that empower parents to return to w</w:t>
      </w:r>
      <w:r w:rsidR="0018136A">
        <w:t>ork</w:t>
      </w:r>
    </w:p>
    <w:p w14:paraId="0775CD71" w14:textId="3F0CCF9F" w:rsidR="0018136A" w:rsidRDefault="0018136A" w:rsidP="003E0563">
      <w:pPr>
        <w:pStyle w:val="ListBullet"/>
      </w:pPr>
      <w:r>
        <w:t xml:space="preserve">Making unrestricted grants to charities that </w:t>
      </w:r>
      <w:r w:rsidR="00602503">
        <w:t>work in the financial hardship space</w:t>
      </w:r>
    </w:p>
    <w:p w14:paraId="1BAA9BEB" w14:textId="22D4D920" w:rsidR="00602503" w:rsidRDefault="00602503" w:rsidP="003E0563">
      <w:pPr>
        <w:pStyle w:val="ListBullet"/>
      </w:pPr>
      <w:r>
        <w:t>Funding data collection and analysis in areas of limited understanding</w:t>
      </w:r>
    </w:p>
    <w:p w14:paraId="48AD073E" w14:textId="77777777" w:rsidR="00F502BA" w:rsidRDefault="00096D4A" w:rsidP="00096D4A">
      <w:pPr>
        <w:pStyle w:val="ListBullet"/>
      </w:pPr>
      <w:r>
        <w:t>Investing in social prescribing / training programmes around financial wellbeing</w:t>
      </w:r>
    </w:p>
    <w:p w14:paraId="1138770F" w14:textId="46348E43" w:rsidR="00D70A42" w:rsidRPr="00096D4A" w:rsidRDefault="00F502BA" w:rsidP="00096D4A">
      <w:pPr>
        <w:pStyle w:val="ListBullet"/>
      </w:pPr>
      <w:r>
        <w:t>Incentivising collaborations between service providers to make provision more holistic and streamlined</w:t>
      </w:r>
      <w:r>
        <w:tab/>
      </w:r>
    </w:p>
    <w:p w14:paraId="3E6A3BD5" w14:textId="77777777" w:rsidR="00783379" w:rsidRDefault="00D70A42" w:rsidP="00783379">
      <w:pPr>
        <w:pStyle w:val="Heading2"/>
        <w:tabs>
          <w:tab w:val="left" w:pos="6540"/>
        </w:tabs>
        <w:rPr>
          <w:lang w:val="en-US"/>
        </w:rPr>
      </w:pPr>
      <w:bookmarkStart w:id="8" w:name="_Toc109210582"/>
      <w:r>
        <w:t>What policy recommendations exist?</w:t>
      </w:r>
      <w:bookmarkEnd w:id="8"/>
    </w:p>
    <w:p w14:paraId="10405B07" w14:textId="55CCC121" w:rsidR="00FB6959" w:rsidRDefault="00FB6959" w:rsidP="00FB6959">
      <w:pPr>
        <w:pStyle w:val="BodyText"/>
        <w:rPr>
          <w:lang w:val="en-US"/>
        </w:rPr>
      </w:pPr>
      <w:r>
        <w:t>Funders can also look to support advocacy work that aims to b</w:t>
      </w:r>
      <w:r w:rsidR="00F8435C">
        <w:t>r</w:t>
      </w:r>
      <w:r>
        <w:t>ing about the following policy recommendations</w:t>
      </w:r>
      <w:r w:rsidR="00F8435C">
        <w:t xml:space="preserve"> </w:t>
      </w:r>
      <w:r w:rsidR="000B508F">
        <w:t>that are seen as promising by the charity sector</w:t>
      </w:r>
      <w:r>
        <w:t>:</w:t>
      </w:r>
    </w:p>
    <w:p w14:paraId="44A78492" w14:textId="77777777" w:rsidR="00304F88" w:rsidRDefault="00FB6959" w:rsidP="00FB6959">
      <w:pPr>
        <w:pStyle w:val="ListBullet"/>
        <w:rPr>
          <w:lang w:val="en-US"/>
        </w:rPr>
      </w:pPr>
      <w:r>
        <w:lastRenderedPageBreak/>
        <w:t xml:space="preserve">Reform to benefits: </w:t>
      </w:r>
    </w:p>
    <w:p w14:paraId="491C7D80" w14:textId="029AC323" w:rsidR="00B13EDA" w:rsidRDefault="00B13EDA" w:rsidP="00990461">
      <w:pPr>
        <w:pStyle w:val="ListBullet"/>
        <w:numPr>
          <w:ilvl w:val="1"/>
          <w:numId w:val="1"/>
        </w:numPr>
        <w:rPr>
          <w:lang w:val="en-US"/>
        </w:rPr>
      </w:pPr>
      <w:r>
        <w:t>Early uplift of benefits (br</w:t>
      </w:r>
      <w:r w:rsidR="00EC4E65">
        <w:t>inging it forwards from April 2023)</w:t>
      </w:r>
    </w:p>
    <w:p w14:paraId="3D70F3AC" w14:textId="6D1E93E4" w:rsidR="00FB6959" w:rsidRDefault="00304F88" w:rsidP="00990461">
      <w:pPr>
        <w:pStyle w:val="ListBullet"/>
        <w:numPr>
          <w:ilvl w:val="1"/>
          <w:numId w:val="1"/>
        </w:numPr>
        <w:rPr>
          <w:lang w:val="en-US"/>
        </w:rPr>
      </w:pPr>
      <w:r>
        <w:t>E</w:t>
      </w:r>
      <w:r w:rsidR="00FB6959">
        <w:t xml:space="preserve">nding the five-week wait for Universal Credit, removing the benefit cap, uplifting benefits in line with inflation, </w:t>
      </w:r>
      <w:r w:rsidR="00CA6EC8">
        <w:t>increasing child benefit and local housing allowance.</w:t>
      </w:r>
    </w:p>
    <w:p w14:paraId="2ED2DA5E" w14:textId="4A8BA8EE" w:rsidR="00304F88" w:rsidRPr="00304F88" w:rsidRDefault="00304F88" w:rsidP="00990461">
      <w:pPr>
        <w:pStyle w:val="ListBullet"/>
        <w:numPr>
          <w:ilvl w:val="1"/>
          <w:numId w:val="1"/>
        </w:numPr>
        <w:rPr>
          <w:lang w:val="en-US"/>
        </w:rPr>
      </w:pPr>
      <w:r>
        <w:t>Ending the No Recourse to Public Funds condition, most urgently for families. While NRPF is still in place, allowing children to access free school meals and funded childcare.</w:t>
      </w:r>
    </w:p>
    <w:p w14:paraId="33AACB84" w14:textId="77777777" w:rsidR="004546B2" w:rsidRDefault="00CA6EC8" w:rsidP="00FB6959">
      <w:pPr>
        <w:pStyle w:val="ListBullet"/>
        <w:rPr>
          <w:lang w:val="en-US"/>
        </w:rPr>
      </w:pPr>
      <w:r>
        <w:t xml:space="preserve">Legal reform: </w:t>
      </w:r>
    </w:p>
    <w:p w14:paraId="11DD3074" w14:textId="70BDDB50" w:rsidR="004546B2" w:rsidRDefault="004546B2" w:rsidP="00990461">
      <w:pPr>
        <w:pStyle w:val="ListBullet"/>
        <w:numPr>
          <w:ilvl w:val="1"/>
          <w:numId w:val="1"/>
        </w:numPr>
        <w:rPr>
          <w:lang w:val="en-US"/>
        </w:rPr>
      </w:pPr>
      <w:r>
        <w:t>P</w:t>
      </w:r>
      <w:r w:rsidR="00CA6EC8">
        <w:t xml:space="preserve">utting in place statutory rights for employees affected by domestic abuse or </w:t>
      </w:r>
      <w:r w:rsidR="00777530">
        <w:t xml:space="preserve">other causes of financial hardship (taking on caring duties, bereavement) to vary their working arrangements in order to cope with its </w:t>
      </w:r>
      <w:proofErr w:type="spellStart"/>
      <w:proofErr w:type="gramStart"/>
      <w:r w:rsidR="00777530">
        <w:t>impacts</w:t>
      </w:r>
      <w:r>
        <w:t>.need</w:t>
      </w:r>
      <w:proofErr w:type="spellEnd"/>
      <w:proofErr w:type="gramEnd"/>
      <w:r>
        <w:t xml:space="preserve"> to </w:t>
      </w:r>
    </w:p>
    <w:p w14:paraId="5DC11A04" w14:textId="4EC67245" w:rsidR="00CA6EC8" w:rsidRDefault="004546B2" w:rsidP="00990461">
      <w:pPr>
        <w:pStyle w:val="ListBullet"/>
        <w:numPr>
          <w:ilvl w:val="1"/>
          <w:numId w:val="1"/>
        </w:numPr>
        <w:rPr>
          <w:lang w:val="en-US"/>
        </w:rPr>
      </w:pPr>
      <w:r>
        <w:t xml:space="preserve">Reinstating and increasing investment in legal aid </w:t>
      </w:r>
    </w:p>
    <w:p w14:paraId="4C11D482" w14:textId="61BFC748" w:rsidR="00192227" w:rsidRDefault="00192227" w:rsidP="00990461">
      <w:pPr>
        <w:pStyle w:val="ListBullet"/>
        <w:numPr>
          <w:ilvl w:val="1"/>
          <w:numId w:val="1"/>
        </w:numPr>
        <w:rPr>
          <w:lang w:val="en-US"/>
        </w:rPr>
      </w:pPr>
      <w:r>
        <w:t xml:space="preserve">Simplifying processes for change in immigration status in cases of </w:t>
      </w:r>
      <w:r w:rsidR="00605082">
        <w:t>destitution, and for challenging decisions</w:t>
      </w:r>
    </w:p>
    <w:p w14:paraId="7608AEA5" w14:textId="77777777" w:rsidR="00304F88" w:rsidRDefault="004546B2" w:rsidP="00FB6959">
      <w:pPr>
        <w:pStyle w:val="ListBullet"/>
        <w:rPr>
          <w:lang w:val="en-US"/>
        </w:rPr>
      </w:pPr>
      <w:r>
        <w:t>Wo</w:t>
      </w:r>
      <w:r w:rsidR="00304F88">
        <w:t>rkforce reform:</w:t>
      </w:r>
    </w:p>
    <w:p w14:paraId="447ED0C2" w14:textId="1AF64D85" w:rsidR="00723F9E" w:rsidRDefault="00723F9E" w:rsidP="00990461">
      <w:pPr>
        <w:pStyle w:val="ListBullet"/>
        <w:numPr>
          <w:ilvl w:val="1"/>
          <w:numId w:val="1"/>
        </w:numPr>
        <w:rPr>
          <w:lang w:val="en-US"/>
        </w:rPr>
      </w:pPr>
      <w:r>
        <w:t>Making minimum wage equivalent to the Real Living Wage</w:t>
      </w:r>
    </w:p>
    <w:p w14:paraId="2046EC76" w14:textId="558FE178" w:rsidR="004546B2" w:rsidRDefault="004546B2" w:rsidP="00990461">
      <w:pPr>
        <w:pStyle w:val="ListBullet"/>
        <w:numPr>
          <w:ilvl w:val="1"/>
          <w:numId w:val="1"/>
        </w:numPr>
        <w:rPr>
          <w:lang w:val="en-US"/>
        </w:rPr>
      </w:pPr>
      <w:r>
        <w:t>Increasing investment in skills and retraining</w:t>
      </w:r>
    </w:p>
    <w:p w14:paraId="39A716A6" w14:textId="77777777" w:rsidR="004546B2" w:rsidRDefault="004546B2" w:rsidP="00FB6959">
      <w:pPr>
        <w:pStyle w:val="ListBullet"/>
        <w:rPr>
          <w:lang w:val="en-US"/>
        </w:rPr>
      </w:pPr>
      <w:r>
        <w:t xml:space="preserve">Housing reform: </w:t>
      </w:r>
    </w:p>
    <w:p w14:paraId="13483DE0" w14:textId="77777777" w:rsidR="004546B2" w:rsidRDefault="004546B2" w:rsidP="00990461">
      <w:pPr>
        <w:pStyle w:val="ListBullet"/>
        <w:numPr>
          <w:ilvl w:val="1"/>
          <w:numId w:val="1"/>
        </w:numPr>
        <w:rPr>
          <w:lang w:val="en-US"/>
        </w:rPr>
      </w:pPr>
      <w:r>
        <w:t xml:space="preserve">Extending rent control and eviction </w:t>
      </w:r>
      <w:proofErr w:type="gramStart"/>
      <w:r>
        <w:t>restrictions, and</w:t>
      </w:r>
      <w:proofErr w:type="gramEnd"/>
      <w:r>
        <w:t xml:space="preserve"> establishing a legal precedent for tenants having the first option to purchase. </w:t>
      </w:r>
    </w:p>
    <w:p w14:paraId="6C273044" w14:textId="3A380C9A" w:rsidR="004546B2" w:rsidRDefault="004546B2" w:rsidP="00990461">
      <w:pPr>
        <w:pStyle w:val="ListBullet"/>
        <w:numPr>
          <w:ilvl w:val="1"/>
          <w:numId w:val="1"/>
        </w:numPr>
        <w:rPr>
          <w:lang w:val="en-US"/>
        </w:rPr>
      </w:pPr>
      <w:r>
        <w:t>Expanding help to rent schemes.</w:t>
      </w:r>
    </w:p>
    <w:p w14:paraId="4BC2A720" w14:textId="6497A133" w:rsidR="004546B2" w:rsidRDefault="004546B2" w:rsidP="00990461">
      <w:pPr>
        <w:pStyle w:val="ListBullet"/>
        <w:numPr>
          <w:ilvl w:val="1"/>
          <w:numId w:val="1"/>
        </w:numPr>
        <w:rPr>
          <w:lang w:val="en-US"/>
        </w:rPr>
      </w:pPr>
      <w:r>
        <w:t xml:space="preserve">Developing housing finance products that are accessible for those in precarious employment or who are </w:t>
      </w:r>
      <w:proofErr w:type="spellStart"/>
      <w:r>
        <w:t>self employed</w:t>
      </w:r>
      <w:proofErr w:type="spellEnd"/>
      <w:r>
        <w:t>.</w:t>
      </w:r>
    </w:p>
    <w:p w14:paraId="4B288A75" w14:textId="479FEB80" w:rsidR="00192227" w:rsidRDefault="00192227" w:rsidP="00192227">
      <w:pPr>
        <w:pStyle w:val="ListBullet"/>
        <w:rPr>
          <w:lang w:val="en-US"/>
        </w:rPr>
      </w:pPr>
      <w:r>
        <w:t>Funding reform:</w:t>
      </w:r>
    </w:p>
    <w:p w14:paraId="58041166" w14:textId="648CBDA7" w:rsidR="00192227" w:rsidRDefault="00605082" w:rsidP="00990461">
      <w:pPr>
        <w:pStyle w:val="ListBullet"/>
        <w:numPr>
          <w:ilvl w:val="1"/>
          <w:numId w:val="1"/>
        </w:numPr>
        <w:rPr>
          <w:lang w:val="en-US"/>
        </w:rPr>
      </w:pPr>
      <w:r>
        <w:t>Implementing l</w:t>
      </w:r>
      <w:r w:rsidR="00192227">
        <w:t>ong term funding plans for local authorities to allow for strategic local planning</w:t>
      </w:r>
    </w:p>
    <w:p w14:paraId="45F4C1BA" w14:textId="2F8643C7" w:rsidR="00605082" w:rsidRDefault="00605082" w:rsidP="00990461">
      <w:pPr>
        <w:pStyle w:val="ListBullet"/>
        <w:numPr>
          <w:ilvl w:val="1"/>
          <w:numId w:val="1"/>
        </w:numPr>
        <w:rPr>
          <w:lang w:val="en-US"/>
        </w:rPr>
      </w:pPr>
      <w:r>
        <w:t>Scoping the feasibility of a UK No Interest Loans Scheme targeted to a small group of people</w:t>
      </w:r>
    </w:p>
    <w:p w14:paraId="38D1657E" w14:textId="1E074F44" w:rsidR="00605082" w:rsidRDefault="00605082" w:rsidP="00990461">
      <w:pPr>
        <w:pStyle w:val="ListBullet"/>
        <w:numPr>
          <w:ilvl w:val="1"/>
          <w:numId w:val="1"/>
        </w:numPr>
        <w:rPr>
          <w:lang w:val="en-US"/>
        </w:rPr>
      </w:pPr>
      <w:r>
        <w:lastRenderedPageBreak/>
        <w:t>Setting up an emergency fund for domestic abuse survivors to cover immediate needs, linked to ongoing support from specialist services</w:t>
      </w:r>
    </w:p>
    <w:p w14:paraId="72B3658F" w14:textId="071BD36C" w:rsidR="004546B2" w:rsidRDefault="004546B2" w:rsidP="004546B2">
      <w:pPr>
        <w:pStyle w:val="ListBullet"/>
        <w:numPr>
          <w:ilvl w:val="0"/>
          <w:numId w:val="0"/>
        </w:numPr>
        <w:rPr>
          <w:lang w:val="en-US"/>
        </w:rPr>
      </w:pPr>
      <w:r>
        <w:t xml:space="preserve">In the short term, </w:t>
      </w:r>
      <w:proofErr w:type="gramStart"/>
      <w:r>
        <w:t>in order to</w:t>
      </w:r>
      <w:proofErr w:type="gramEnd"/>
      <w:r>
        <w:t xml:space="preserve"> help ease the cost-of-living crisis, policy recommendations include:</w:t>
      </w:r>
    </w:p>
    <w:p w14:paraId="4A0B85B6" w14:textId="566E1589" w:rsidR="004546B2" w:rsidRDefault="004546B2" w:rsidP="00990461">
      <w:pPr>
        <w:pStyle w:val="ListBullet"/>
        <w:numPr>
          <w:ilvl w:val="0"/>
          <w:numId w:val="7"/>
        </w:numPr>
        <w:rPr>
          <w:lang w:val="en-US"/>
        </w:rPr>
      </w:pPr>
      <w:r>
        <w:t>Removing VAT from energy bills</w:t>
      </w:r>
    </w:p>
    <w:p w14:paraId="6851B2DD" w14:textId="35E07BDD" w:rsidR="00077DA2" w:rsidRDefault="00077DA2" w:rsidP="00990461">
      <w:pPr>
        <w:pStyle w:val="ListBullet"/>
        <w:numPr>
          <w:ilvl w:val="0"/>
          <w:numId w:val="7"/>
        </w:numPr>
        <w:rPr>
          <w:lang w:val="en-US"/>
        </w:rPr>
      </w:pPr>
      <w:r>
        <w:t>Removing green levies from energy bills</w:t>
      </w:r>
    </w:p>
    <w:p w14:paraId="7FA96656" w14:textId="55A8517D" w:rsidR="00F054B7" w:rsidRDefault="00F054B7" w:rsidP="00990461">
      <w:pPr>
        <w:pStyle w:val="ListBullet"/>
        <w:numPr>
          <w:ilvl w:val="0"/>
          <w:numId w:val="7"/>
        </w:numPr>
        <w:rPr>
          <w:lang w:val="en-US"/>
        </w:rPr>
      </w:pPr>
      <w:r>
        <w:t>Restoring work allowances to pre-2015 level</w:t>
      </w:r>
    </w:p>
    <w:p w14:paraId="4BA8EA65" w14:textId="27877E35" w:rsidR="004546B2" w:rsidRDefault="004546B2" w:rsidP="00990461">
      <w:pPr>
        <w:pStyle w:val="ListBullet"/>
        <w:numPr>
          <w:ilvl w:val="0"/>
          <w:numId w:val="7"/>
        </w:numPr>
        <w:rPr>
          <w:lang w:val="en-US"/>
        </w:rPr>
      </w:pPr>
      <w:r>
        <w:t>Expanding the free school meals scheme</w:t>
      </w:r>
    </w:p>
    <w:p w14:paraId="71080D12" w14:textId="002F0BE2" w:rsidR="00D70A42" w:rsidRDefault="004546B2" w:rsidP="00990461">
      <w:pPr>
        <w:pStyle w:val="ListBullet"/>
        <w:numPr>
          <w:ilvl w:val="0"/>
          <w:numId w:val="7"/>
        </w:numPr>
        <w:rPr>
          <w:lang w:val="en-US"/>
        </w:rPr>
      </w:pPr>
      <w:r>
        <w:t>Increasing the value of healthy start vouchers to £4.25 a week and expanding them to all pregnant women on Universal Credit or equivalent</w:t>
      </w:r>
    </w:p>
    <w:p w14:paraId="3CDD96A6" w14:textId="29E59830" w:rsidR="00F502BA" w:rsidRDefault="00F502BA" w:rsidP="00F502BA">
      <w:pPr>
        <w:pStyle w:val="Textboxtitle"/>
        <w:rPr>
          <w:lang w:val="en-US"/>
        </w:rPr>
      </w:pPr>
      <w:r>
        <w:t>Conclusion</w:t>
      </w:r>
    </w:p>
    <w:p w14:paraId="3464C72E" w14:textId="0F4AA50F" w:rsidR="00F502BA" w:rsidRPr="00F502BA" w:rsidRDefault="00F502BA" w:rsidP="00F502BA">
      <w:pPr>
        <w:pStyle w:val="Textboxcontent"/>
        <w:rPr>
          <w:lang w:val="en-US"/>
        </w:rPr>
      </w:pPr>
      <w:r>
        <w:t xml:space="preserve">Thank you for taking the time to read this document, summarizing our current understanding of financial hardship in the UK. This is a summary of a wider set of research, </w:t>
      </w:r>
      <w:proofErr w:type="gramStart"/>
      <w:r>
        <w:t>interviews</w:t>
      </w:r>
      <w:proofErr w:type="gramEnd"/>
      <w:r>
        <w:t xml:space="preserve"> and analysis, but we’d be interested to hear your views on anything that resonates – or doesn’t – with you in this document. Please email Naomi Chapman on </w:t>
      </w:r>
      <w:hyperlink r:id="rId14">
        <w:r w:rsidRPr="4091DAC8">
          <w:rPr>
            <w:rStyle w:val="Hyperlink"/>
          </w:rPr>
          <w:t>naomi.chapman@thinknpc.org</w:t>
        </w:r>
      </w:hyperlink>
      <w:r>
        <w:t xml:space="preserve"> with any thoughts. If you are interested in the Open Philanthropy programme more generally, email Jane Dodson, Programme Manager, on </w:t>
      </w:r>
      <w:hyperlink r:id="rId15">
        <w:r w:rsidRPr="4091DAC8">
          <w:rPr>
            <w:rStyle w:val="Hyperlink"/>
          </w:rPr>
          <w:t>jane.dodson@thinknpc.org</w:t>
        </w:r>
      </w:hyperlink>
      <w:r>
        <w:t xml:space="preserve">. </w:t>
      </w:r>
    </w:p>
    <w:sectPr w:rsidR="00F502BA" w:rsidRPr="00F502BA" w:rsidSect="00D07B91">
      <w:headerReference w:type="default" r:id="rId16"/>
      <w:footerReference w:type="default" r:id="rId17"/>
      <w:headerReference w:type="first" r:id="rId18"/>
      <w:footerReference w:type="first" r:id="rId19"/>
      <w:pgSz w:w="11906" w:h="16838"/>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3C0BF" w14:textId="77777777" w:rsidR="0008375F" w:rsidRDefault="0008375F" w:rsidP="00684D16">
      <w:pPr>
        <w:spacing w:after="0" w:line="240" w:lineRule="auto"/>
      </w:pPr>
      <w:r>
        <w:separator/>
      </w:r>
    </w:p>
  </w:endnote>
  <w:endnote w:type="continuationSeparator" w:id="0">
    <w:p w14:paraId="7A0E22EF" w14:textId="77777777" w:rsidR="0008375F" w:rsidRDefault="0008375F" w:rsidP="00684D16">
      <w:pPr>
        <w:spacing w:after="0" w:line="240" w:lineRule="auto"/>
      </w:pPr>
      <w:r>
        <w:continuationSeparator/>
      </w:r>
    </w:p>
  </w:endnote>
  <w:endnote w:type="continuationNotice" w:id="1">
    <w:p w14:paraId="5C3F0615" w14:textId="77777777" w:rsidR="0008375F" w:rsidRDefault="0008375F">
      <w:pPr>
        <w:spacing w:after="0" w:line="240" w:lineRule="auto"/>
      </w:pPr>
    </w:p>
  </w:endnote>
  <w:endnote w:id="2">
    <w:p w14:paraId="2853E701" w14:textId="7AD3681E" w:rsidR="0053441D" w:rsidRPr="0053441D" w:rsidRDefault="0053441D">
      <w:pPr>
        <w:pStyle w:val="EndnoteText"/>
        <w:rPr>
          <w:b/>
          <w:bCs/>
          <w:color w:val="auto"/>
          <w:sz w:val="20"/>
          <w:szCs w:val="22"/>
          <w:lang w:val="en-US"/>
        </w:rPr>
      </w:pPr>
      <w:r w:rsidRPr="00B10D6C">
        <w:rPr>
          <w:rStyle w:val="EndnoteReference"/>
          <w:color w:val="auto"/>
          <w:sz w:val="20"/>
          <w:szCs w:val="22"/>
        </w:rPr>
        <w:endnoteRef/>
      </w:r>
      <w:r w:rsidRPr="00B10D6C">
        <w:rPr>
          <w:color w:val="auto"/>
          <w:sz w:val="20"/>
          <w:szCs w:val="22"/>
        </w:rPr>
        <w:t xml:space="preserve"> </w:t>
      </w:r>
      <w:r w:rsidRPr="00B10D6C">
        <w:rPr>
          <w:b/>
          <w:bCs/>
          <w:color w:val="auto"/>
          <w:sz w:val="20"/>
          <w:szCs w:val="22"/>
          <w:lang w:val="en-US"/>
        </w:rPr>
        <w:t>Positionality Statements</w:t>
      </w:r>
    </w:p>
    <w:p w14:paraId="35AB0EE7" w14:textId="77777777" w:rsidR="00B10D6C" w:rsidRDefault="00B10D6C" w:rsidP="00B10D6C">
      <w:pPr>
        <w:pStyle w:val="TEST"/>
        <w:rPr>
          <w:caps w:val="0"/>
        </w:rPr>
      </w:pPr>
      <w:r>
        <w:rPr>
          <w:caps w:val="0"/>
        </w:rPr>
        <w:t xml:space="preserve">Jane Dodson is informed by her experience growing up in Wales, living in social housing with a single parent from the age of seven, and attended a comprehensive. She secured a place at Staffordshire Polytechnic (now University) and received a state grant to attend, graduating with BA (Hons) Modern Studies (specialising in International Relations). Whilst working in the global humanitarian sector she developed participatory research skills and evaluation techniques, later working mainly in sustainable community development. She later gained an MSc in Policy Analysis &amp; Evaluation from UCL. She is white, married, has no physical disabilities and lives in England.  </w:t>
      </w:r>
    </w:p>
    <w:p w14:paraId="7E6796F8" w14:textId="77777777" w:rsidR="00B10D6C" w:rsidRDefault="00B10D6C" w:rsidP="00B10D6C">
      <w:pPr>
        <w:pStyle w:val="TEST"/>
        <w:rPr>
          <w:caps w:val="0"/>
          <w:szCs w:val="18"/>
        </w:rPr>
      </w:pPr>
      <w:r w:rsidRPr="6C14DD26">
        <w:rPr>
          <w:caps w:val="0"/>
          <w:szCs w:val="18"/>
        </w:rPr>
        <w:t xml:space="preserve">Naomi Chapman grew up in rural South Devon, attending a local state comprehensive. She attended the University of Oxford, graduating with a BA in Philosophy, Politics and Economics. </w:t>
      </w:r>
      <w:r>
        <w:rPr>
          <w:caps w:val="0"/>
          <w:szCs w:val="18"/>
        </w:rPr>
        <w:t xml:space="preserve">After graduation, she worked in the cultural sector and gained a PGCert in Arts Fundraising &amp; Leadership from the University of Leeds, before applying her expertise in fundraising, grant making and organisational development to the wider charity sector at NPC. </w:t>
      </w:r>
    </w:p>
    <w:p w14:paraId="226FA033" w14:textId="1BF46483" w:rsidR="0053441D" w:rsidRPr="00B10D6C" w:rsidRDefault="00B10D6C" w:rsidP="00B10D6C">
      <w:pPr>
        <w:pStyle w:val="TEST"/>
        <w:rPr>
          <w:caps w:val="0"/>
          <w:szCs w:val="18"/>
        </w:rPr>
      </w:pPr>
      <w:r w:rsidRPr="00420946">
        <w:rPr>
          <w:caps w:val="0"/>
          <w:szCs w:val="18"/>
        </w:rPr>
        <w:t xml:space="preserve">Lily Meisner grew up in London, she attended the University of Exeter, graduating with a BA in Liberal Arts majoring in English Literature, and minoring in Sociology, Politics, Philosophy and Arab and Islamic Studies. After graduation she gained experience in the social sector as a volunteer at St Mungo’s throughout the COVID-19 lockdowns, before starting her role as a </w:t>
      </w:r>
      <w:r>
        <w:rPr>
          <w:caps w:val="0"/>
          <w:szCs w:val="18"/>
        </w:rPr>
        <w:t>R</w:t>
      </w:r>
      <w:r w:rsidRPr="00420946">
        <w:rPr>
          <w:caps w:val="0"/>
          <w:szCs w:val="18"/>
        </w:rPr>
        <w:t>esearcher at NPC</w:t>
      </w:r>
      <w:r>
        <w:rPr>
          <w:caps w:val="0"/>
          <w:szCs w:val="18"/>
        </w:rPr>
        <w:t>.</w:t>
      </w:r>
    </w:p>
  </w:endnote>
  <w:endnote w:id="3">
    <w:p w14:paraId="416CF107" w14:textId="77777777" w:rsidR="009D1CFF" w:rsidRPr="0053441D" w:rsidRDefault="009D1CFF" w:rsidP="009D1CFF">
      <w:pPr>
        <w:pStyle w:val="NPCSubHeading4Inline"/>
        <w:rPr>
          <w:sz w:val="14"/>
          <w:szCs w:val="20"/>
          <w:lang w:val="en-US"/>
        </w:rPr>
      </w:pPr>
      <w:r>
        <w:rPr>
          <w:rStyle w:val="EndnoteReference"/>
        </w:rPr>
        <w:endnoteRef/>
      </w:r>
      <w:r>
        <w:t xml:space="preserve"> </w:t>
      </w:r>
      <w:r w:rsidRPr="0053441D">
        <w:rPr>
          <w:rStyle w:val="Heading3Char"/>
          <w:b/>
          <w:bCs w:val="0"/>
          <w:sz w:val="20"/>
          <w:szCs w:val="20"/>
        </w:rPr>
        <w:t>How is financial hardship defined?</w:t>
      </w:r>
      <w:r w:rsidRPr="0053441D">
        <w:rPr>
          <w:rStyle w:val="Heading3Char"/>
          <w:b/>
          <w:bCs w:val="0"/>
          <w:sz w:val="20"/>
          <w:szCs w:val="20"/>
        </w:rPr>
        <w:t/>
      </w:r>
    </w:p>
    <w:p w14:paraId="0B677EED" w14:textId="77777777" w:rsidR="009D1CFF" w:rsidRPr="0053441D" w:rsidRDefault="009D1CFF" w:rsidP="009D1CFF">
      <w:pPr>
        <w:pStyle w:val="BodyText"/>
        <w:rPr>
          <w:sz w:val="18"/>
          <w:szCs w:val="16"/>
          <w:lang w:eastAsia="en-GB"/>
        </w:rPr>
      </w:pPr>
      <w:r w:rsidRPr="0053441D">
        <w:rPr>
          <w:sz w:val="18"/>
          <w:szCs w:val="16"/>
          <w:lang w:eastAsia="en-GB"/>
        </w:rPr>
        <w:t>There are two central definitions of poverty, which in turn indicates financial hardship:</w:t>
      </w:r>
    </w:p>
    <w:p w14:paraId="1C7CF45C" w14:textId="77777777" w:rsidR="009D1CFF" w:rsidRPr="0053441D" w:rsidRDefault="009D1CFF" w:rsidP="009D1CFF">
      <w:pPr>
        <w:pStyle w:val="ListBullet"/>
        <w:rPr>
          <w:sz w:val="18"/>
          <w:szCs w:val="16"/>
          <w:lang w:eastAsia="en-GB"/>
        </w:rPr>
      </w:pPr>
      <w:r w:rsidRPr="0053441D">
        <w:rPr>
          <w:sz w:val="18"/>
          <w:szCs w:val="16"/>
          <w:lang w:eastAsia="en-GB"/>
        </w:rPr>
        <w:t>Income poverty, which is defined in relation to median income in the UK (and as such is a relative measure)</w:t>
      </w:r>
    </w:p>
    <w:p w14:paraId="00B731FC" w14:textId="77777777" w:rsidR="009D1CFF" w:rsidRPr="0053441D" w:rsidRDefault="009D1CFF" w:rsidP="009D1CFF">
      <w:pPr>
        <w:pStyle w:val="ListBullet"/>
        <w:rPr>
          <w:sz w:val="18"/>
          <w:szCs w:val="16"/>
          <w:lang w:eastAsia="en-GB"/>
        </w:rPr>
      </w:pPr>
      <w:r w:rsidRPr="0053441D">
        <w:rPr>
          <w:sz w:val="18"/>
          <w:szCs w:val="16"/>
          <w:lang w:eastAsia="en-GB"/>
        </w:rPr>
        <w:t>Minimum Income Standard, which is defined by an individual’s ability to achieve a minimum acceptable standard of living</w:t>
      </w:r>
    </w:p>
    <w:p w14:paraId="21B8AABE" w14:textId="0F054BBE" w:rsidR="009D1CFF" w:rsidRPr="009D1CFF" w:rsidRDefault="009D1CFF">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7478737" w14:paraId="1EC3038B" w14:textId="77777777" w:rsidTr="4091DAC8">
      <w:tc>
        <w:tcPr>
          <w:tcW w:w="3210" w:type="dxa"/>
        </w:tcPr>
        <w:p w14:paraId="54CEE13A" w14:textId="556CA4D2" w:rsidR="67478737" w:rsidRDefault="67478737" w:rsidP="4091DAC8">
          <w:pPr>
            <w:pStyle w:val="Header"/>
            <w:ind w:left="-115"/>
            <w:jc w:val="left"/>
          </w:pPr>
        </w:p>
      </w:tc>
      <w:tc>
        <w:tcPr>
          <w:tcW w:w="3210" w:type="dxa"/>
        </w:tcPr>
        <w:p w14:paraId="4B39AC68" w14:textId="702A8523" w:rsidR="67478737" w:rsidRDefault="67478737" w:rsidP="4091DAC8">
          <w:pPr>
            <w:pStyle w:val="Header"/>
            <w:jc w:val="center"/>
          </w:pPr>
        </w:p>
      </w:tc>
      <w:tc>
        <w:tcPr>
          <w:tcW w:w="3210" w:type="dxa"/>
        </w:tcPr>
        <w:p w14:paraId="2CAE8CB1" w14:textId="56AAB7FC" w:rsidR="67478737" w:rsidRDefault="67478737" w:rsidP="4091DAC8">
          <w:pPr>
            <w:pStyle w:val="Header"/>
            <w:ind w:right="-115"/>
          </w:pPr>
        </w:p>
      </w:tc>
    </w:tr>
  </w:tbl>
  <w:p w14:paraId="468D374E" w14:textId="29371DB3" w:rsidR="00177B57" w:rsidRDefault="00177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6DF0" w14:textId="77777777" w:rsidR="00D07B91" w:rsidRDefault="00D46D10">
    <w:pPr>
      <w:pStyle w:val="Footer"/>
    </w:pPr>
    <w:r>
      <w:fldChar w:fldCharType="begin"/>
    </w:r>
    <w:r>
      <w:instrText xml:space="preserve"> PAGE  </w:instrText>
    </w:r>
    <w:r>
      <w:fldChar w:fldCharType="separate"/>
    </w:r>
    <w:r w:rsidR="4091DAC8">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B43A" w14:textId="77777777" w:rsidR="0008375F" w:rsidRDefault="0008375F" w:rsidP="00684D16">
      <w:pPr>
        <w:spacing w:after="0" w:line="240" w:lineRule="auto"/>
      </w:pPr>
      <w:r>
        <w:separator/>
      </w:r>
    </w:p>
  </w:footnote>
  <w:footnote w:type="continuationSeparator" w:id="0">
    <w:p w14:paraId="3F82A783" w14:textId="77777777" w:rsidR="0008375F" w:rsidRDefault="0008375F" w:rsidP="00684D16">
      <w:pPr>
        <w:spacing w:after="0" w:line="240" w:lineRule="auto"/>
      </w:pPr>
      <w:r>
        <w:continuationSeparator/>
      </w:r>
    </w:p>
  </w:footnote>
  <w:footnote w:type="continuationNotice" w:id="1">
    <w:p w14:paraId="30C7A145" w14:textId="77777777" w:rsidR="0008375F" w:rsidRDefault="0008375F">
      <w:pPr>
        <w:spacing w:after="0" w:line="240" w:lineRule="auto"/>
      </w:pPr>
    </w:p>
  </w:footnote>
  <w:footnote w:id="2">
    <w:p w14:paraId="3AF6DB90" w14:textId="4FDF749B" w:rsidR="00ED1975" w:rsidRPr="00ED1975" w:rsidRDefault="00ED1975">
      <w:pPr>
        <w:pStyle w:val="FootnoteText"/>
        <w:rPr>
          <w:lang w:val="en-US"/>
        </w:rPr>
      </w:pPr>
      <w:r>
        <w:rPr>
          <w:rStyle w:val="FootnoteReference"/>
        </w:rPr>
        <w:footnoteRef/>
      </w:r>
      <w:r>
        <w:t xml:space="preserve"> </w:t>
      </w:r>
      <w:hyperlink r:id="rId1" w:history="1">
        <w:r w:rsidRPr="002A6C87">
          <w:rPr>
            <w:rStyle w:val="Hyperlink"/>
            <w:lang w:val="en-US"/>
          </w:rPr>
          <w:t>Poverty in the UK: Statistics</w:t>
        </w:r>
      </w:hyperlink>
      <w:r>
        <w:rPr>
          <w:lang w:val="en-US"/>
        </w:rPr>
        <w:t>. House of Commons Library.</w:t>
      </w:r>
      <w:r w:rsidR="002A6C87">
        <w:rPr>
          <w:lang w:val="en-US"/>
        </w:rPr>
        <w:t xml:space="preserve"> 13 April 2022.</w:t>
      </w:r>
    </w:p>
  </w:footnote>
  <w:footnote w:id="3">
    <w:p w14:paraId="1CE269B9" w14:textId="3C863040" w:rsidR="00786FBE" w:rsidRPr="00786FBE" w:rsidRDefault="00786FBE">
      <w:pPr>
        <w:pStyle w:val="FootnoteText"/>
        <w:rPr>
          <w:lang w:val="en-US"/>
        </w:rPr>
      </w:pPr>
      <w:r>
        <w:rPr>
          <w:rStyle w:val="FootnoteReference"/>
        </w:rPr>
        <w:footnoteRef/>
      </w:r>
      <w:r>
        <w:t xml:space="preserve"> </w:t>
      </w:r>
      <w:hyperlink r:id="rId2" w:history="1">
        <w:r w:rsidRPr="005D13C9">
          <w:rPr>
            <w:rStyle w:val="Hyperlink"/>
            <w:lang w:val="en-US"/>
          </w:rPr>
          <w:t>Measuring Poverty 2020</w:t>
        </w:r>
      </w:hyperlink>
      <w:r>
        <w:rPr>
          <w:lang w:val="en-US"/>
        </w:rPr>
        <w:t>. Social Metrics Commission. 1</w:t>
      </w:r>
      <w:r w:rsidRPr="00786FBE">
        <w:rPr>
          <w:vertAlign w:val="superscript"/>
          <w:lang w:val="en-US"/>
        </w:rPr>
        <w:t>st</w:t>
      </w:r>
      <w:r>
        <w:rPr>
          <w:lang w:val="en-US"/>
        </w:rPr>
        <w:t xml:space="preserve"> July 2020.</w:t>
      </w:r>
    </w:p>
  </w:footnote>
  <w:footnote w:id="4">
    <w:p w14:paraId="0159303C" w14:textId="5AD65885" w:rsidR="00AF4CA2" w:rsidRPr="00AF4CA2" w:rsidRDefault="00AF4CA2">
      <w:pPr>
        <w:pStyle w:val="FootnoteText"/>
        <w:rPr>
          <w:lang w:val="en-US"/>
        </w:rPr>
      </w:pPr>
      <w:r>
        <w:rPr>
          <w:rStyle w:val="FootnoteReference"/>
        </w:rPr>
        <w:footnoteRef/>
      </w:r>
      <w:r>
        <w:t xml:space="preserve"> </w:t>
      </w:r>
      <w:hyperlink r:id="rId3" w:history="1">
        <w:r w:rsidRPr="005D13C9">
          <w:rPr>
            <w:rStyle w:val="Hyperlink"/>
            <w:lang w:val="en-US"/>
          </w:rPr>
          <w:t>Measuring Poverty 2020</w:t>
        </w:r>
      </w:hyperlink>
      <w:r>
        <w:rPr>
          <w:lang w:val="en-US"/>
        </w:rPr>
        <w:t>. Social Metrics Commission. 1</w:t>
      </w:r>
      <w:r w:rsidRPr="00786FBE">
        <w:rPr>
          <w:vertAlign w:val="superscript"/>
          <w:lang w:val="en-US"/>
        </w:rPr>
        <w:t>st</w:t>
      </w:r>
      <w:r>
        <w:rPr>
          <w:lang w:val="en-US"/>
        </w:rPr>
        <w:t xml:space="preserve"> July 2020.</w:t>
      </w:r>
    </w:p>
  </w:footnote>
  <w:footnote w:id="5">
    <w:p w14:paraId="179450CC" w14:textId="05E1082A" w:rsidR="00BA1039" w:rsidRPr="00BA1039" w:rsidRDefault="00BA1039">
      <w:pPr>
        <w:pStyle w:val="FootnoteText"/>
        <w:rPr>
          <w:lang w:val="en-US"/>
        </w:rPr>
      </w:pPr>
      <w:r>
        <w:rPr>
          <w:rStyle w:val="FootnoteReference"/>
        </w:rPr>
        <w:footnoteRef/>
      </w:r>
      <w:r>
        <w:t xml:space="preserve"> </w:t>
      </w:r>
      <w:hyperlink r:id="rId4" w:history="1">
        <w:r w:rsidRPr="00C56438">
          <w:rPr>
            <w:rStyle w:val="Hyperlink"/>
            <w:lang w:val="en-US"/>
          </w:rPr>
          <w:t>UK Poverty 2022</w:t>
        </w:r>
      </w:hyperlink>
      <w:r>
        <w:rPr>
          <w:lang w:val="en-US"/>
        </w:rPr>
        <w:t>. Joseph Rowntree Foundation. 18</w:t>
      </w:r>
      <w:r w:rsidRPr="00BA1039">
        <w:rPr>
          <w:vertAlign w:val="superscript"/>
          <w:lang w:val="en-US"/>
        </w:rPr>
        <w:t>th</w:t>
      </w:r>
      <w:r>
        <w:rPr>
          <w:lang w:val="en-US"/>
        </w:rPr>
        <w:t xml:space="preserve"> January 2022.</w:t>
      </w:r>
    </w:p>
  </w:footnote>
  <w:footnote w:id="6">
    <w:p w14:paraId="026B60B0" w14:textId="712C7E2E" w:rsidR="00B322AD" w:rsidRPr="00B322AD" w:rsidRDefault="00B322AD">
      <w:pPr>
        <w:pStyle w:val="FootnoteText"/>
        <w:rPr>
          <w:lang w:val="en-US"/>
        </w:rPr>
      </w:pPr>
      <w:r>
        <w:rPr>
          <w:rStyle w:val="FootnoteReference"/>
        </w:rPr>
        <w:footnoteRef/>
      </w:r>
      <w:r>
        <w:t xml:space="preserve"> </w:t>
      </w:r>
      <w:hyperlink r:id="rId5" w:history="1">
        <w:r w:rsidRPr="00B322AD">
          <w:rPr>
            <w:rStyle w:val="Hyperlink"/>
            <w:lang w:val="en-US"/>
          </w:rPr>
          <w:t>Turn2Us data on NPC Databank</w:t>
        </w:r>
      </w:hyperlink>
      <w:r>
        <w:rPr>
          <w:lang w:val="en-US"/>
        </w:rPr>
        <w:t>. NPC. Accessed 28 July 2022.</w:t>
      </w:r>
    </w:p>
  </w:footnote>
  <w:footnote w:id="7">
    <w:p w14:paraId="68F88D31" w14:textId="48DE9E00" w:rsidR="00831F6B" w:rsidRPr="00831F6B" w:rsidRDefault="00831F6B">
      <w:pPr>
        <w:pStyle w:val="FootnoteText"/>
        <w:rPr>
          <w:lang w:val="en-US"/>
        </w:rPr>
      </w:pPr>
      <w:r>
        <w:rPr>
          <w:rStyle w:val="FootnoteReference"/>
        </w:rPr>
        <w:footnoteRef/>
      </w:r>
      <w:r>
        <w:t xml:space="preserve"> </w:t>
      </w:r>
      <w:hyperlink r:id="rId6" w:history="1">
        <w:r w:rsidRPr="00831F6B">
          <w:rPr>
            <w:rStyle w:val="Hyperlink"/>
            <w:lang w:val="en-US"/>
          </w:rPr>
          <w:t>Child poverty facts and figures</w:t>
        </w:r>
      </w:hyperlink>
      <w:r>
        <w:rPr>
          <w:lang w:val="en-US"/>
        </w:rPr>
        <w:t>. Child Poverty Action Group. Accessed 28</w:t>
      </w:r>
      <w:r w:rsidRPr="00831F6B">
        <w:rPr>
          <w:vertAlign w:val="superscript"/>
          <w:lang w:val="en-US"/>
        </w:rPr>
        <w:t>th</w:t>
      </w:r>
      <w:r>
        <w:rPr>
          <w:lang w:val="en-US"/>
        </w:rPr>
        <w:t xml:space="preserve"> July 2022.</w:t>
      </w:r>
    </w:p>
  </w:footnote>
  <w:footnote w:id="8">
    <w:p w14:paraId="4D49AC93" w14:textId="7EF206BF" w:rsidR="00831F6B" w:rsidRPr="00831F6B" w:rsidRDefault="00831F6B">
      <w:pPr>
        <w:pStyle w:val="FootnoteText"/>
        <w:rPr>
          <w:lang w:val="en-US"/>
        </w:rPr>
      </w:pPr>
      <w:r>
        <w:rPr>
          <w:rStyle w:val="FootnoteReference"/>
        </w:rPr>
        <w:footnoteRef/>
      </w:r>
      <w:r>
        <w:t xml:space="preserve"> </w:t>
      </w:r>
      <w:hyperlink r:id="rId7" w:history="1">
        <w:r w:rsidRPr="00831F6B">
          <w:rPr>
            <w:rStyle w:val="Hyperlink"/>
            <w:lang w:val="en-US"/>
          </w:rPr>
          <w:t>Child poverty facts and figures</w:t>
        </w:r>
      </w:hyperlink>
      <w:r>
        <w:rPr>
          <w:lang w:val="en-US"/>
        </w:rPr>
        <w:t>. Child Poverty Action Group. Accessed 28</w:t>
      </w:r>
      <w:r w:rsidRPr="00831F6B">
        <w:rPr>
          <w:vertAlign w:val="superscript"/>
          <w:lang w:val="en-US"/>
        </w:rPr>
        <w:t>th</w:t>
      </w:r>
      <w:r>
        <w:rPr>
          <w:lang w:val="en-US"/>
        </w:rPr>
        <w:t xml:space="preserve"> July 2022.</w:t>
      </w:r>
    </w:p>
  </w:footnote>
  <w:footnote w:id="9">
    <w:p w14:paraId="06CA6FAC" w14:textId="499E556C" w:rsidR="000659AE" w:rsidRPr="000659AE" w:rsidRDefault="000659AE">
      <w:pPr>
        <w:pStyle w:val="FootnoteText"/>
        <w:rPr>
          <w:lang w:val="en-US"/>
        </w:rPr>
      </w:pPr>
      <w:r>
        <w:rPr>
          <w:rStyle w:val="FootnoteReference"/>
        </w:rPr>
        <w:footnoteRef/>
      </w:r>
      <w:r>
        <w:t xml:space="preserve"> </w:t>
      </w:r>
      <w:hyperlink r:id="rId8" w:history="1">
        <w:r w:rsidRPr="000659AE">
          <w:rPr>
            <w:rStyle w:val="Hyperlink"/>
            <w:lang w:val="en-US"/>
          </w:rPr>
          <w:t>Running on Empty</w:t>
        </w:r>
      </w:hyperlink>
      <w:r>
        <w:rPr>
          <w:lang w:val="en-US"/>
        </w:rPr>
        <w:t xml:space="preserve">. </w:t>
      </w:r>
      <w:proofErr w:type="spellStart"/>
      <w:r>
        <w:rPr>
          <w:lang w:val="en-US"/>
        </w:rPr>
        <w:t>Fareshare</w:t>
      </w:r>
      <w:proofErr w:type="spellEnd"/>
      <w:r>
        <w:rPr>
          <w:lang w:val="en-US"/>
        </w:rPr>
        <w:t>.</w:t>
      </w:r>
      <w:r w:rsidR="008E1A30">
        <w:rPr>
          <w:lang w:val="en-US"/>
        </w:rPr>
        <w:t xml:space="preserve"> Accessed 28</w:t>
      </w:r>
      <w:r w:rsidR="008E1A30" w:rsidRPr="008E1A30">
        <w:rPr>
          <w:vertAlign w:val="superscript"/>
          <w:lang w:val="en-US"/>
        </w:rPr>
        <w:t>th</w:t>
      </w:r>
      <w:r w:rsidR="008E1A30">
        <w:rPr>
          <w:lang w:val="en-US"/>
        </w:rPr>
        <w:t xml:space="preserve"> July 2022.</w:t>
      </w:r>
    </w:p>
  </w:footnote>
  <w:footnote w:id="10">
    <w:p w14:paraId="09838D16" w14:textId="56EEB1CB" w:rsidR="00045631" w:rsidRPr="00045631" w:rsidRDefault="00045631">
      <w:pPr>
        <w:pStyle w:val="FootnoteText"/>
        <w:rPr>
          <w:lang w:val="en-US"/>
        </w:rPr>
      </w:pPr>
      <w:r>
        <w:rPr>
          <w:rStyle w:val="FootnoteReference"/>
        </w:rPr>
        <w:footnoteRef/>
      </w:r>
      <w:r>
        <w:t xml:space="preserve"> </w:t>
      </w:r>
      <w:hyperlink r:id="rId9" w:history="1">
        <w:r w:rsidRPr="002A6C87">
          <w:rPr>
            <w:rStyle w:val="Hyperlink"/>
            <w:lang w:val="en-US"/>
          </w:rPr>
          <w:t>Poverty in the UK: Statistics</w:t>
        </w:r>
      </w:hyperlink>
      <w:r>
        <w:rPr>
          <w:lang w:val="en-US"/>
        </w:rPr>
        <w:t>. House of Commons Library. 13</w:t>
      </w:r>
      <w:r w:rsidR="009539D0">
        <w:rPr>
          <w:lang w:val="en-US"/>
        </w:rPr>
        <w:t>th</w:t>
      </w:r>
      <w:r>
        <w:rPr>
          <w:lang w:val="en-US"/>
        </w:rPr>
        <w:t xml:space="preserve"> April 2022.</w:t>
      </w:r>
    </w:p>
  </w:footnote>
  <w:footnote w:id="11">
    <w:p w14:paraId="5A7E5E31" w14:textId="35686022" w:rsidR="00000A8F" w:rsidRPr="00000A8F" w:rsidRDefault="00000A8F">
      <w:pPr>
        <w:pStyle w:val="FootnoteText"/>
        <w:rPr>
          <w:lang w:val="en-US"/>
        </w:rPr>
      </w:pPr>
      <w:r>
        <w:rPr>
          <w:rStyle w:val="FootnoteReference"/>
        </w:rPr>
        <w:footnoteRef/>
      </w:r>
      <w:r>
        <w:t xml:space="preserve"> </w:t>
      </w:r>
      <w:hyperlink r:id="rId10" w:history="1">
        <w:r w:rsidRPr="00B215C9">
          <w:rPr>
            <w:rStyle w:val="Hyperlink"/>
          </w:rPr>
          <w:t xml:space="preserve">The Impact of Financial Hardship on Single Parents: An Exploration of the Journey </w:t>
        </w:r>
        <w:proofErr w:type="gramStart"/>
        <w:r w:rsidRPr="00B215C9">
          <w:rPr>
            <w:rStyle w:val="Hyperlink"/>
          </w:rPr>
          <w:t>From</w:t>
        </w:r>
        <w:proofErr w:type="gramEnd"/>
        <w:r w:rsidRPr="00B215C9">
          <w:rPr>
            <w:rStyle w:val="Hyperlink"/>
          </w:rPr>
          <w:t xml:space="preserve"> Social Distress to Seeking Help</w:t>
        </w:r>
      </w:hyperlink>
      <w:r w:rsidR="00B215C9">
        <w:t>. Journal of Family and Economic Issues. 17</w:t>
      </w:r>
      <w:r w:rsidR="00B215C9" w:rsidRPr="00B215C9">
        <w:rPr>
          <w:vertAlign w:val="superscript"/>
        </w:rPr>
        <w:t>th</w:t>
      </w:r>
      <w:r w:rsidR="00B215C9">
        <w:t xml:space="preserve"> October 2017.</w:t>
      </w:r>
    </w:p>
  </w:footnote>
  <w:footnote w:id="12">
    <w:p w14:paraId="7DA2C998" w14:textId="17AF93E6" w:rsidR="00B81B55" w:rsidRPr="00B81B55" w:rsidRDefault="00B81B55">
      <w:pPr>
        <w:pStyle w:val="FootnoteText"/>
        <w:rPr>
          <w:lang w:val="en-US"/>
        </w:rPr>
      </w:pPr>
      <w:r>
        <w:rPr>
          <w:rStyle w:val="FootnoteReference"/>
        </w:rPr>
        <w:footnoteRef/>
      </w:r>
      <w:r>
        <w:t xml:space="preserve"> </w:t>
      </w:r>
      <w:hyperlink r:id="rId11" w:history="1">
        <w:r w:rsidRPr="002A74F0">
          <w:rPr>
            <w:rStyle w:val="Hyperlink"/>
            <w:lang w:val="en-US"/>
          </w:rPr>
          <w:t>Gender, Personal Finances and Covid-19</w:t>
        </w:r>
      </w:hyperlink>
      <w:r>
        <w:rPr>
          <w:lang w:val="en-US"/>
        </w:rPr>
        <w:t>. Financial Conduct Authority. 24</w:t>
      </w:r>
      <w:r w:rsidRPr="002A74F0">
        <w:rPr>
          <w:vertAlign w:val="superscript"/>
          <w:lang w:val="en-US"/>
        </w:rPr>
        <w:t>th</w:t>
      </w:r>
      <w:r>
        <w:rPr>
          <w:lang w:val="en-US"/>
        </w:rPr>
        <w:t xml:space="preserve"> May 2021.</w:t>
      </w:r>
    </w:p>
  </w:footnote>
  <w:footnote w:id="13">
    <w:p w14:paraId="0857592A" w14:textId="79F50F46" w:rsidR="000841F2" w:rsidRPr="000841F2" w:rsidRDefault="000841F2">
      <w:pPr>
        <w:pStyle w:val="FootnoteText"/>
        <w:rPr>
          <w:lang w:val="en-US"/>
        </w:rPr>
      </w:pPr>
      <w:r>
        <w:rPr>
          <w:rStyle w:val="FootnoteReference"/>
        </w:rPr>
        <w:footnoteRef/>
      </w:r>
      <w:r>
        <w:t xml:space="preserve"> </w:t>
      </w:r>
      <w:hyperlink r:id="rId12" w:history="1">
        <w:r w:rsidRPr="007F5A66">
          <w:rPr>
            <w:rStyle w:val="Hyperlink"/>
          </w:rPr>
          <w:t xml:space="preserve">Households Below Average Income, Statistics on the number and percentage of people living in </w:t>
        </w:r>
        <w:proofErr w:type="gramStart"/>
        <w:r w:rsidRPr="007F5A66">
          <w:rPr>
            <w:rStyle w:val="Hyperlink"/>
          </w:rPr>
          <w:t>low income</w:t>
        </w:r>
        <w:proofErr w:type="gramEnd"/>
        <w:r w:rsidRPr="007F5A66">
          <w:rPr>
            <w:rStyle w:val="Hyperlink"/>
          </w:rPr>
          <w:t xml:space="preserve"> households for financial years 1994/95 to 2018/19, Table 4.3tr</w:t>
        </w:r>
      </w:hyperlink>
      <w:r w:rsidRPr="000841F2">
        <w:t>. Department for Work and Pensions, 2020</w:t>
      </w:r>
    </w:p>
  </w:footnote>
  <w:footnote w:id="14">
    <w:p w14:paraId="2103ABC6" w14:textId="1F31E205" w:rsidR="00C45B00" w:rsidRPr="00C45B00" w:rsidRDefault="00C45B00">
      <w:pPr>
        <w:pStyle w:val="FootnoteText"/>
        <w:rPr>
          <w:lang w:val="en-US"/>
        </w:rPr>
      </w:pPr>
      <w:r>
        <w:rPr>
          <w:rStyle w:val="FootnoteReference"/>
        </w:rPr>
        <w:footnoteRef/>
      </w:r>
      <w:r>
        <w:t xml:space="preserve"> </w:t>
      </w:r>
      <w:hyperlink r:id="rId13" w:history="1">
        <w:r w:rsidRPr="009539D0">
          <w:rPr>
            <w:rStyle w:val="Hyperlink"/>
            <w:lang w:val="en-US"/>
          </w:rPr>
          <w:t>Funding halved on services for vulnerable children in England</w:t>
        </w:r>
      </w:hyperlink>
      <w:r>
        <w:rPr>
          <w:lang w:val="en-US"/>
        </w:rPr>
        <w:t>. BBC News.</w:t>
      </w:r>
      <w:r w:rsidR="009539D0">
        <w:rPr>
          <w:lang w:val="en-US"/>
        </w:rPr>
        <w:t xml:space="preserve"> 15</w:t>
      </w:r>
      <w:r w:rsidR="009539D0" w:rsidRPr="009539D0">
        <w:rPr>
          <w:vertAlign w:val="superscript"/>
          <w:lang w:val="en-US"/>
        </w:rPr>
        <w:t>th</w:t>
      </w:r>
      <w:r w:rsidR="009539D0">
        <w:rPr>
          <w:lang w:val="en-US"/>
        </w:rPr>
        <w:t xml:space="preserve"> July 2021.</w:t>
      </w:r>
    </w:p>
  </w:footnote>
  <w:footnote w:id="15">
    <w:p w14:paraId="64D1FA95" w14:textId="481C0734" w:rsidR="001A759B" w:rsidRPr="001A759B" w:rsidRDefault="001A759B">
      <w:pPr>
        <w:pStyle w:val="FootnoteText"/>
        <w:rPr>
          <w:lang w:val="en-US"/>
        </w:rPr>
      </w:pPr>
      <w:r>
        <w:rPr>
          <w:rStyle w:val="FootnoteReference"/>
        </w:rPr>
        <w:footnoteRef/>
      </w:r>
      <w:r>
        <w:t xml:space="preserve"> </w:t>
      </w:r>
      <w:hyperlink r:id="rId14" w:history="1">
        <w:r w:rsidRPr="00A448CE">
          <w:rPr>
            <w:rStyle w:val="Hyperlink"/>
            <w:lang w:val="en-US"/>
          </w:rPr>
          <w:t>Why we need civil society to stand up and lead.</w:t>
        </w:r>
      </w:hyperlink>
      <w:r>
        <w:rPr>
          <w:lang w:val="en-US"/>
        </w:rPr>
        <w:t xml:space="preserve"> Commission on Civil Society. Accessed 28</w:t>
      </w:r>
      <w:r w:rsidRPr="00A448CE">
        <w:rPr>
          <w:vertAlign w:val="superscript"/>
          <w:lang w:val="en-US"/>
        </w:rPr>
        <w:t>th</w:t>
      </w:r>
      <w:r>
        <w:rPr>
          <w:lang w:val="en-US"/>
        </w:rPr>
        <w:t xml:space="preserve"> July 2022.</w:t>
      </w:r>
    </w:p>
  </w:footnote>
  <w:footnote w:id="16">
    <w:p w14:paraId="3B3C8E76" w14:textId="47051EB5" w:rsidR="00357C4B" w:rsidRPr="00357C4B" w:rsidRDefault="00357C4B">
      <w:pPr>
        <w:pStyle w:val="FootnoteText"/>
        <w:rPr>
          <w:lang w:val="en-US"/>
        </w:rPr>
      </w:pPr>
      <w:r>
        <w:rPr>
          <w:rStyle w:val="FootnoteReference"/>
        </w:rPr>
        <w:footnoteRef/>
      </w:r>
      <w:r>
        <w:t xml:space="preserve"> </w:t>
      </w:r>
      <w:hyperlink r:id="rId15" w:history="1">
        <w:r w:rsidRPr="003D60C9">
          <w:rPr>
            <w:rStyle w:val="Hyperlink"/>
            <w:lang w:val="en-US"/>
          </w:rPr>
          <w:t>Homeless Monitor England</w:t>
        </w:r>
      </w:hyperlink>
      <w:r>
        <w:rPr>
          <w:lang w:val="en-US"/>
        </w:rPr>
        <w:t>.</w:t>
      </w:r>
      <w:r w:rsidR="003D60C9">
        <w:rPr>
          <w:lang w:val="en-US"/>
        </w:rPr>
        <w:t xml:space="preserve"> Crisis. 22</w:t>
      </w:r>
      <w:r w:rsidR="003D60C9" w:rsidRPr="003D60C9">
        <w:rPr>
          <w:vertAlign w:val="superscript"/>
          <w:lang w:val="en-US"/>
        </w:rPr>
        <w:t>nd</w:t>
      </w:r>
      <w:r w:rsidR="003D60C9">
        <w:rPr>
          <w:lang w:val="en-US"/>
        </w:rPr>
        <w:t xml:space="preserve"> February 2022.</w:t>
      </w:r>
    </w:p>
  </w:footnote>
  <w:footnote w:id="17">
    <w:p w14:paraId="5170D6EB" w14:textId="660FAA2A" w:rsidR="003D60C9" w:rsidRPr="003D60C9" w:rsidRDefault="003D60C9">
      <w:pPr>
        <w:pStyle w:val="FootnoteText"/>
        <w:rPr>
          <w:lang w:val="en-US"/>
        </w:rPr>
      </w:pPr>
      <w:r>
        <w:rPr>
          <w:rStyle w:val="FootnoteReference"/>
        </w:rPr>
        <w:footnoteRef/>
      </w:r>
      <w:r>
        <w:t xml:space="preserve"> </w:t>
      </w:r>
      <w:hyperlink r:id="rId16" w:history="1">
        <w:r w:rsidRPr="003D60C9">
          <w:rPr>
            <w:rStyle w:val="Hyperlink"/>
            <w:lang w:val="en-US"/>
          </w:rPr>
          <w:t>Homeless Monitor England</w:t>
        </w:r>
      </w:hyperlink>
      <w:r>
        <w:rPr>
          <w:lang w:val="en-US"/>
        </w:rPr>
        <w:t>. Crisis. 22</w:t>
      </w:r>
      <w:r w:rsidRPr="003D60C9">
        <w:rPr>
          <w:vertAlign w:val="superscript"/>
          <w:lang w:val="en-US"/>
        </w:rPr>
        <w:t>nd</w:t>
      </w:r>
      <w:r>
        <w:rPr>
          <w:lang w:val="en-US"/>
        </w:rPr>
        <w:t xml:space="preserve"> February 2022.</w:t>
      </w:r>
    </w:p>
  </w:footnote>
  <w:footnote w:id="18">
    <w:p w14:paraId="2D03EDA4" w14:textId="1918F140" w:rsidR="006259D6" w:rsidRPr="006259D6" w:rsidRDefault="006259D6">
      <w:pPr>
        <w:pStyle w:val="FootnoteText"/>
        <w:rPr>
          <w:lang w:val="en-US"/>
        </w:rPr>
      </w:pPr>
      <w:r>
        <w:rPr>
          <w:rStyle w:val="FootnoteReference"/>
        </w:rPr>
        <w:footnoteRef/>
      </w:r>
      <w:r>
        <w:t xml:space="preserve"> </w:t>
      </w:r>
      <w:hyperlink r:id="rId17" w:anchor=":~:text=16.12.-,2021,leaving%20people%20trapped%20in%20homelessness." w:history="1">
        <w:r w:rsidRPr="00915BF0">
          <w:rPr>
            <w:rStyle w:val="Hyperlink"/>
            <w:lang w:val="en-US"/>
          </w:rPr>
          <w:t>Barely breaking even: the experiences and impact of in-work homelessness across Britain</w:t>
        </w:r>
      </w:hyperlink>
      <w:r>
        <w:rPr>
          <w:lang w:val="en-US"/>
        </w:rPr>
        <w:t xml:space="preserve">. </w:t>
      </w:r>
      <w:r w:rsidR="00915BF0">
        <w:rPr>
          <w:lang w:val="en-US"/>
        </w:rPr>
        <w:t>Crisis. 16</w:t>
      </w:r>
      <w:r w:rsidR="00915BF0" w:rsidRPr="00915BF0">
        <w:rPr>
          <w:vertAlign w:val="superscript"/>
          <w:lang w:val="en-US"/>
        </w:rPr>
        <w:t>th</w:t>
      </w:r>
      <w:r w:rsidR="00915BF0">
        <w:rPr>
          <w:lang w:val="en-US"/>
        </w:rPr>
        <w:t xml:space="preserve"> December 2021.</w:t>
      </w:r>
    </w:p>
  </w:footnote>
  <w:footnote w:id="19">
    <w:p w14:paraId="62D65422" w14:textId="38AFBF58" w:rsidR="00AE2881" w:rsidRPr="00AE2881" w:rsidRDefault="00AE2881">
      <w:pPr>
        <w:pStyle w:val="FootnoteText"/>
        <w:rPr>
          <w:lang w:val="en-US"/>
        </w:rPr>
      </w:pPr>
      <w:r>
        <w:rPr>
          <w:rStyle w:val="FootnoteReference"/>
        </w:rPr>
        <w:footnoteRef/>
      </w:r>
      <w:r>
        <w:t xml:space="preserve"> </w:t>
      </w:r>
      <w:hyperlink r:id="rId18" w:history="1">
        <w:r w:rsidRPr="002D7068">
          <w:rPr>
            <w:rStyle w:val="Hyperlink"/>
            <w:lang w:val="en-US"/>
          </w:rPr>
          <w:t>The needs of adult care leavers</w:t>
        </w:r>
      </w:hyperlink>
      <w:r>
        <w:rPr>
          <w:lang w:val="en-US"/>
        </w:rPr>
        <w:t xml:space="preserve">. </w:t>
      </w:r>
      <w:r w:rsidR="002D7068">
        <w:rPr>
          <w:lang w:val="en-US"/>
        </w:rPr>
        <w:t>The Care Leavers’ Association. Accessed 28</w:t>
      </w:r>
      <w:r w:rsidR="002D7068" w:rsidRPr="002D7068">
        <w:rPr>
          <w:vertAlign w:val="superscript"/>
          <w:lang w:val="en-US"/>
        </w:rPr>
        <w:t>th</w:t>
      </w:r>
      <w:r w:rsidR="002D7068">
        <w:rPr>
          <w:lang w:val="en-US"/>
        </w:rPr>
        <w:t xml:space="preserve"> July 2022.</w:t>
      </w:r>
    </w:p>
  </w:footnote>
  <w:footnote w:id="20">
    <w:p w14:paraId="29D44CAE" w14:textId="16EB0EA8" w:rsidR="00590FE6" w:rsidRPr="00590FE6" w:rsidRDefault="00590FE6">
      <w:pPr>
        <w:pStyle w:val="FootnoteText"/>
        <w:rPr>
          <w:lang w:val="en-US"/>
        </w:rPr>
      </w:pPr>
      <w:r>
        <w:rPr>
          <w:rStyle w:val="FootnoteReference"/>
        </w:rPr>
        <w:footnoteRef/>
      </w:r>
      <w:r>
        <w:t xml:space="preserve"> </w:t>
      </w:r>
      <w:hyperlink r:id="rId19" w:history="1">
        <w:r w:rsidRPr="00E82EAB">
          <w:rPr>
            <w:rStyle w:val="Hyperlink"/>
            <w:lang w:val="en-US"/>
          </w:rPr>
          <w:t>Leaving care: addressing poverty and wellbeing</w:t>
        </w:r>
      </w:hyperlink>
      <w:r>
        <w:rPr>
          <w:lang w:val="en-US"/>
        </w:rPr>
        <w:t xml:space="preserve">. </w:t>
      </w:r>
      <w:proofErr w:type="spellStart"/>
      <w:r>
        <w:rPr>
          <w:lang w:val="en-US"/>
        </w:rPr>
        <w:t>Barnardos</w:t>
      </w:r>
      <w:proofErr w:type="spellEnd"/>
      <w:r>
        <w:rPr>
          <w:lang w:val="en-US"/>
        </w:rPr>
        <w:t>. Accessed 28</w:t>
      </w:r>
      <w:r w:rsidRPr="00590FE6">
        <w:rPr>
          <w:vertAlign w:val="superscript"/>
          <w:lang w:val="en-US"/>
        </w:rPr>
        <w:t>th</w:t>
      </w:r>
      <w:r>
        <w:rPr>
          <w:lang w:val="en-US"/>
        </w:rPr>
        <w:t xml:space="preserve"> July 2022.</w:t>
      </w:r>
    </w:p>
  </w:footnote>
  <w:footnote w:id="21">
    <w:p w14:paraId="2D60347F" w14:textId="60AA4908" w:rsidR="00C02620" w:rsidRPr="00C02620" w:rsidRDefault="00C02620">
      <w:pPr>
        <w:pStyle w:val="FootnoteText"/>
        <w:rPr>
          <w:lang w:val="en-US"/>
        </w:rPr>
      </w:pPr>
      <w:r>
        <w:rPr>
          <w:rStyle w:val="FootnoteReference"/>
        </w:rPr>
        <w:footnoteRef/>
      </w:r>
      <w:r>
        <w:t xml:space="preserve"> </w:t>
      </w:r>
      <w:hyperlink r:id="rId20" w:anchor=":~:text=Rises%20in%20child%20poverty%20fuelled,a%20new%20study%20has%20estimated." w:history="1">
        <w:r w:rsidR="00120C93" w:rsidRPr="00120C93">
          <w:rPr>
            <w:rStyle w:val="Hyperlink"/>
            <w:lang w:val="en-US"/>
          </w:rPr>
          <w:t>Child poverty rises linked to 10,000 more children going into care over five years, finds research</w:t>
        </w:r>
      </w:hyperlink>
      <w:r w:rsidR="00120C93">
        <w:rPr>
          <w:lang w:val="en-US"/>
        </w:rPr>
        <w:t>. Community Care. 10</w:t>
      </w:r>
      <w:r w:rsidR="00120C93" w:rsidRPr="00120C93">
        <w:rPr>
          <w:vertAlign w:val="superscript"/>
          <w:lang w:val="en-US"/>
        </w:rPr>
        <w:t>th</w:t>
      </w:r>
      <w:r w:rsidR="00120C93">
        <w:rPr>
          <w:lang w:val="en-US"/>
        </w:rPr>
        <w:t xml:space="preserve"> January 2022.</w:t>
      </w:r>
    </w:p>
  </w:footnote>
  <w:footnote w:id="22">
    <w:p w14:paraId="0CED6444" w14:textId="68F69901" w:rsidR="7B2CAE32" w:rsidRDefault="7B2CAE32" w:rsidP="7B2CAE32">
      <w:pPr>
        <w:pStyle w:val="FootnoteText"/>
      </w:pPr>
      <w:r w:rsidRPr="7B2CAE32">
        <w:rPr>
          <w:rStyle w:val="FootnoteReference"/>
          <w:szCs w:val="18"/>
        </w:rPr>
        <w:footnoteRef/>
      </w:r>
      <w:r w:rsidRPr="7B2CAE32">
        <w:rPr>
          <w:szCs w:val="18"/>
        </w:rPr>
        <w:t xml:space="preserve"> </w:t>
      </w:r>
      <w:hyperlink r:id="rId21">
        <w:r w:rsidRPr="7B2CAE32">
          <w:rPr>
            <w:rStyle w:val="Hyperlink"/>
            <w:szCs w:val="18"/>
          </w:rPr>
          <w:t>Women and Poverty</w:t>
        </w:r>
      </w:hyperlink>
      <w:r w:rsidRPr="7B2CAE32">
        <w:rPr>
          <w:szCs w:val="18"/>
        </w:rPr>
        <w:t>. National Education Union. 17</w:t>
      </w:r>
      <w:r w:rsidRPr="7B2CAE32">
        <w:rPr>
          <w:szCs w:val="18"/>
          <w:vertAlign w:val="superscript"/>
        </w:rPr>
        <w:t>th</w:t>
      </w:r>
      <w:r w:rsidRPr="7B2CAE32">
        <w:rPr>
          <w:szCs w:val="18"/>
        </w:rPr>
        <w:t xml:space="preserve"> January 2019.</w:t>
      </w:r>
    </w:p>
  </w:footnote>
  <w:footnote w:id="23">
    <w:p w14:paraId="759BBA51" w14:textId="714BC55E" w:rsidR="7B2CAE32" w:rsidRDefault="7B2CAE32" w:rsidP="7B2CAE32">
      <w:pPr>
        <w:pStyle w:val="FootnoteText"/>
      </w:pPr>
      <w:r w:rsidRPr="7B2CAE32">
        <w:rPr>
          <w:rStyle w:val="FootnoteReference"/>
          <w:szCs w:val="18"/>
        </w:rPr>
        <w:footnoteRef/>
      </w:r>
      <w:r w:rsidRPr="7B2CAE32">
        <w:rPr>
          <w:szCs w:val="18"/>
        </w:rPr>
        <w:t xml:space="preserve"> </w:t>
      </w:r>
      <w:hyperlink r:id="rId22">
        <w:r w:rsidRPr="7B2CAE32">
          <w:rPr>
            <w:rStyle w:val="Hyperlink"/>
            <w:szCs w:val="18"/>
          </w:rPr>
          <w:t>Valuing women’s unpaid work.</w:t>
        </w:r>
      </w:hyperlink>
      <w:r w:rsidRPr="7B2CAE32">
        <w:rPr>
          <w:szCs w:val="18"/>
        </w:rPr>
        <w:t xml:space="preserve"> Young Women’s Trust. 4</w:t>
      </w:r>
      <w:r w:rsidRPr="7B2CAE32">
        <w:rPr>
          <w:szCs w:val="18"/>
          <w:vertAlign w:val="superscript"/>
        </w:rPr>
        <w:t>th</w:t>
      </w:r>
      <w:r w:rsidRPr="7B2CAE32">
        <w:rPr>
          <w:szCs w:val="18"/>
        </w:rPr>
        <w:t xml:space="preserve"> March 2020.</w:t>
      </w:r>
    </w:p>
  </w:footnote>
  <w:footnote w:id="24">
    <w:p w14:paraId="4748CABE" w14:textId="5095C328" w:rsidR="7B2CAE32" w:rsidRDefault="7B2CAE32" w:rsidP="7B2CAE32">
      <w:pPr>
        <w:pStyle w:val="FootnoteText"/>
        <w:rPr>
          <w:szCs w:val="18"/>
        </w:rPr>
      </w:pPr>
      <w:r w:rsidRPr="7B2CAE32">
        <w:rPr>
          <w:rStyle w:val="FootnoteReference"/>
          <w:szCs w:val="18"/>
        </w:rPr>
        <w:footnoteRef/>
      </w:r>
      <w:r w:rsidRPr="7B2CAE32">
        <w:rPr>
          <w:szCs w:val="18"/>
        </w:rPr>
        <w:t xml:space="preserve"> </w:t>
      </w:r>
      <w:hyperlink r:id="rId23">
        <w:r w:rsidRPr="7B2CAE32">
          <w:rPr>
            <w:rStyle w:val="Hyperlink"/>
            <w:szCs w:val="18"/>
          </w:rPr>
          <w:t>Women and Poverty</w:t>
        </w:r>
      </w:hyperlink>
      <w:r w:rsidRPr="7B2CAE32">
        <w:rPr>
          <w:szCs w:val="18"/>
        </w:rPr>
        <w:t>. National Education Union. 17</w:t>
      </w:r>
      <w:r w:rsidRPr="7B2CAE32">
        <w:rPr>
          <w:szCs w:val="18"/>
          <w:vertAlign w:val="superscript"/>
        </w:rPr>
        <w:t>th</w:t>
      </w:r>
      <w:r w:rsidRPr="7B2CAE32">
        <w:rPr>
          <w:szCs w:val="18"/>
        </w:rPr>
        <w:t xml:space="preserve"> January 2019.</w:t>
      </w:r>
    </w:p>
  </w:footnote>
  <w:footnote w:id="25">
    <w:p w14:paraId="3F59C593" w14:textId="07037564" w:rsidR="7B2CAE32" w:rsidRDefault="7B2CAE32" w:rsidP="7B2CAE32">
      <w:pPr>
        <w:pStyle w:val="FootnoteText"/>
      </w:pPr>
      <w:r w:rsidRPr="7B2CAE32">
        <w:rPr>
          <w:rStyle w:val="FootnoteReference"/>
          <w:szCs w:val="18"/>
        </w:rPr>
        <w:footnoteRef/>
      </w:r>
      <w:r w:rsidRPr="7B2CAE32">
        <w:rPr>
          <w:szCs w:val="18"/>
        </w:rPr>
        <w:t xml:space="preserve"> Interview with NPC. 12</w:t>
      </w:r>
      <w:r w:rsidRPr="7B2CAE32">
        <w:rPr>
          <w:szCs w:val="18"/>
          <w:vertAlign w:val="superscript"/>
        </w:rPr>
        <w:t>th</w:t>
      </w:r>
      <w:r w:rsidRPr="7B2CAE32">
        <w:rPr>
          <w:szCs w:val="18"/>
        </w:rPr>
        <w:t xml:space="preserve"> July 2022.</w:t>
      </w:r>
    </w:p>
  </w:footnote>
  <w:footnote w:id="26">
    <w:p w14:paraId="2059BF6A" w14:textId="1BB3413F" w:rsidR="000F15B7" w:rsidRPr="000F15B7" w:rsidRDefault="000F15B7">
      <w:pPr>
        <w:pStyle w:val="FootnoteText"/>
        <w:rPr>
          <w:lang w:val="en-US"/>
        </w:rPr>
      </w:pPr>
      <w:r>
        <w:rPr>
          <w:rStyle w:val="FootnoteReference"/>
        </w:rPr>
        <w:footnoteRef/>
      </w:r>
      <w:r>
        <w:t xml:space="preserve"> </w:t>
      </w:r>
      <w:hyperlink r:id="rId24" w:history="1">
        <w:r w:rsidRPr="00E5390A">
          <w:rPr>
            <w:rStyle w:val="Hyperlink"/>
            <w:lang w:val="en-US"/>
          </w:rPr>
          <w:t xml:space="preserve">The financial impact of Covid-19 on disabled people and </w:t>
        </w:r>
        <w:proofErr w:type="spellStart"/>
        <w:r w:rsidRPr="00E5390A">
          <w:rPr>
            <w:rStyle w:val="Hyperlink"/>
            <w:lang w:val="en-US"/>
          </w:rPr>
          <w:t>carers</w:t>
        </w:r>
        <w:proofErr w:type="spellEnd"/>
      </w:hyperlink>
      <w:r>
        <w:rPr>
          <w:lang w:val="en-US"/>
        </w:rPr>
        <w:t>. Joseph Rowntree Foundation. 3</w:t>
      </w:r>
      <w:r w:rsidRPr="000F15B7">
        <w:rPr>
          <w:vertAlign w:val="superscript"/>
          <w:lang w:val="en-US"/>
        </w:rPr>
        <w:t>rd</w:t>
      </w:r>
      <w:r>
        <w:rPr>
          <w:lang w:val="en-US"/>
        </w:rPr>
        <w:t xml:space="preserve"> December 2020.</w:t>
      </w:r>
    </w:p>
  </w:footnote>
  <w:footnote w:id="27">
    <w:p w14:paraId="6DEB55DC" w14:textId="26E8EE09" w:rsidR="00170AEA" w:rsidRPr="00170AEA" w:rsidRDefault="00170AEA">
      <w:pPr>
        <w:pStyle w:val="FootnoteText"/>
        <w:rPr>
          <w:lang w:val="en-US"/>
        </w:rPr>
      </w:pPr>
      <w:r>
        <w:rPr>
          <w:rStyle w:val="FootnoteReference"/>
        </w:rPr>
        <w:footnoteRef/>
      </w:r>
      <w:r>
        <w:t xml:space="preserve"> </w:t>
      </w:r>
      <w:hyperlink r:id="rId25" w:history="1">
        <w:r w:rsidRPr="00170AEA">
          <w:rPr>
            <w:rStyle w:val="Hyperlink"/>
            <w:lang w:val="en-US"/>
          </w:rPr>
          <w:t>Disability and Poverty.</w:t>
        </w:r>
      </w:hyperlink>
      <w:r>
        <w:rPr>
          <w:lang w:val="en-US"/>
        </w:rPr>
        <w:t xml:space="preserve"> New Policy Institute. 11</w:t>
      </w:r>
      <w:r w:rsidRPr="00170AEA">
        <w:rPr>
          <w:vertAlign w:val="superscript"/>
          <w:lang w:val="en-US"/>
        </w:rPr>
        <w:t>th</w:t>
      </w:r>
      <w:r>
        <w:rPr>
          <w:lang w:val="en-US"/>
        </w:rPr>
        <w:t xml:space="preserve"> August 2016.</w:t>
      </w:r>
    </w:p>
  </w:footnote>
  <w:footnote w:id="28">
    <w:p w14:paraId="6B9D3B95" w14:textId="45B74E44" w:rsidR="00454CBB" w:rsidRPr="00454CBB" w:rsidRDefault="00454CBB">
      <w:pPr>
        <w:pStyle w:val="FootnoteText"/>
        <w:rPr>
          <w:lang w:val="en-US"/>
        </w:rPr>
      </w:pPr>
      <w:r>
        <w:rPr>
          <w:rStyle w:val="FootnoteReference"/>
        </w:rPr>
        <w:footnoteRef/>
      </w:r>
      <w:r>
        <w:t xml:space="preserve"> </w:t>
      </w:r>
      <w:hyperlink r:id="rId26" w:history="1">
        <w:r w:rsidRPr="008A4930">
          <w:rPr>
            <w:rStyle w:val="Hyperlink"/>
            <w:lang w:val="en-US"/>
          </w:rPr>
          <w:t>Disability Price Tag</w:t>
        </w:r>
      </w:hyperlink>
      <w:r w:rsidR="008A4930">
        <w:rPr>
          <w:lang w:val="en-US"/>
        </w:rPr>
        <w:t>. Scope. February 2019.</w:t>
      </w:r>
    </w:p>
  </w:footnote>
  <w:footnote w:id="29">
    <w:p w14:paraId="2039B4C9" w14:textId="35C1A980" w:rsidR="008A4930" w:rsidRPr="008A4930" w:rsidRDefault="008A4930">
      <w:pPr>
        <w:pStyle w:val="FootnoteText"/>
        <w:rPr>
          <w:lang w:val="en-US"/>
        </w:rPr>
      </w:pPr>
      <w:r>
        <w:rPr>
          <w:rStyle w:val="FootnoteReference"/>
        </w:rPr>
        <w:footnoteRef/>
      </w:r>
      <w:r>
        <w:t xml:space="preserve"> </w:t>
      </w:r>
      <w:hyperlink r:id="rId27" w:history="1">
        <w:r w:rsidRPr="008A4930">
          <w:rPr>
            <w:rStyle w:val="Hyperlink"/>
            <w:lang w:val="en-US"/>
          </w:rPr>
          <w:t>Disability Price Tag</w:t>
        </w:r>
      </w:hyperlink>
      <w:r>
        <w:rPr>
          <w:lang w:val="en-US"/>
        </w:rPr>
        <w:t>. Scope. February 2019</w:t>
      </w:r>
    </w:p>
  </w:footnote>
  <w:footnote w:id="30">
    <w:p w14:paraId="5B994145" w14:textId="006992A9" w:rsidR="00230081" w:rsidRPr="00230081" w:rsidRDefault="00230081">
      <w:pPr>
        <w:pStyle w:val="FootnoteText"/>
        <w:rPr>
          <w:lang w:val="en-US"/>
        </w:rPr>
      </w:pPr>
      <w:r>
        <w:rPr>
          <w:rStyle w:val="FootnoteReference"/>
        </w:rPr>
        <w:footnoteRef/>
      </w:r>
      <w:r>
        <w:t xml:space="preserve"> </w:t>
      </w:r>
      <w:hyperlink r:id="rId28" w:history="1">
        <w:r w:rsidRPr="008A4930">
          <w:rPr>
            <w:rStyle w:val="Hyperlink"/>
            <w:lang w:val="en-US"/>
          </w:rPr>
          <w:t>Disability Price Tag</w:t>
        </w:r>
      </w:hyperlink>
      <w:r>
        <w:rPr>
          <w:lang w:val="en-US"/>
        </w:rPr>
        <w:t>. Scope. February 2019</w:t>
      </w:r>
    </w:p>
  </w:footnote>
  <w:footnote w:id="31">
    <w:p w14:paraId="2B763F10" w14:textId="46460521" w:rsidR="005C2203" w:rsidRPr="005C2203" w:rsidRDefault="005C2203">
      <w:pPr>
        <w:pStyle w:val="FootnoteText"/>
        <w:rPr>
          <w:lang w:val="en-US"/>
        </w:rPr>
      </w:pPr>
      <w:r>
        <w:rPr>
          <w:rStyle w:val="FootnoteReference"/>
        </w:rPr>
        <w:footnoteRef/>
      </w:r>
      <w:r>
        <w:t xml:space="preserve"> </w:t>
      </w:r>
      <w:hyperlink r:id="rId29" w:history="1">
        <w:r w:rsidRPr="00D50667">
          <w:rPr>
            <w:rStyle w:val="Hyperlink"/>
            <w:lang w:val="en-US"/>
          </w:rPr>
          <w:t>The impact of Covid-19 on disabled women from Sisters of Frida</w:t>
        </w:r>
      </w:hyperlink>
      <w:r>
        <w:rPr>
          <w:lang w:val="en-US"/>
        </w:rPr>
        <w:t>. Sisters of Frida. April 2020.</w:t>
      </w:r>
    </w:p>
  </w:footnote>
  <w:footnote w:id="32">
    <w:p w14:paraId="365DB982" w14:textId="38517592" w:rsidR="00230081" w:rsidRPr="00230081" w:rsidRDefault="00230081">
      <w:pPr>
        <w:pStyle w:val="FootnoteText"/>
        <w:rPr>
          <w:lang w:val="en-US"/>
        </w:rPr>
      </w:pPr>
      <w:r>
        <w:rPr>
          <w:rStyle w:val="FootnoteReference"/>
        </w:rPr>
        <w:footnoteRef/>
      </w:r>
      <w:r>
        <w:t xml:space="preserve"> </w:t>
      </w:r>
      <w:hyperlink r:id="rId30" w:history="1">
        <w:r w:rsidRPr="00170AEA">
          <w:rPr>
            <w:rStyle w:val="Hyperlink"/>
            <w:lang w:val="en-US"/>
          </w:rPr>
          <w:t>Disability and Poverty.</w:t>
        </w:r>
      </w:hyperlink>
      <w:r>
        <w:rPr>
          <w:lang w:val="en-US"/>
        </w:rPr>
        <w:t xml:space="preserve"> New Policy Institute. 11</w:t>
      </w:r>
      <w:r w:rsidRPr="00170AEA">
        <w:rPr>
          <w:vertAlign w:val="superscript"/>
          <w:lang w:val="en-US"/>
        </w:rPr>
        <w:t>th</w:t>
      </w:r>
      <w:r>
        <w:rPr>
          <w:lang w:val="en-US"/>
        </w:rPr>
        <w:t xml:space="preserve"> August 2016.</w:t>
      </w:r>
    </w:p>
  </w:footnote>
  <w:footnote w:id="33">
    <w:p w14:paraId="2C22FD33" w14:textId="4D595389" w:rsidR="00D50667" w:rsidRPr="00D50667" w:rsidRDefault="00D50667">
      <w:pPr>
        <w:pStyle w:val="FootnoteText"/>
        <w:rPr>
          <w:lang w:val="en-US"/>
        </w:rPr>
      </w:pPr>
      <w:r>
        <w:rPr>
          <w:rStyle w:val="FootnoteReference"/>
        </w:rPr>
        <w:footnoteRef/>
      </w:r>
      <w:r>
        <w:t xml:space="preserve"> </w:t>
      </w:r>
      <w:hyperlink r:id="rId31" w:history="1">
        <w:r w:rsidRPr="00024BC0">
          <w:rPr>
            <w:rStyle w:val="Hyperlink"/>
            <w:lang w:val="en-US"/>
          </w:rPr>
          <w:t>Lessons learned: where women stand at the start of 2021</w:t>
        </w:r>
      </w:hyperlink>
      <w:r>
        <w:rPr>
          <w:lang w:val="en-US"/>
        </w:rPr>
        <w:t xml:space="preserve">. </w:t>
      </w:r>
      <w:r w:rsidR="00024BC0">
        <w:rPr>
          <w:lang w:val="en-US"/>
        </w:rPr>
        <w:t xml:space="preserve">Women’s Budget Group. </w:t>
      </w:r>
      <w:r>
        <w:rPr>
          <w:lang w:val="en-US"/>
        </w:rPr>
        <w:t>26</w:t>
      </w:r>
      <w:r w:rsidRPr="00D50667">
        <w:rPr>
          <w:vertAlign w:val="superscript"/>
          <w:lang w:val="en-US"/>
        </w:rPr>
        <w:t>th</w:t>
      </w:r>
      <w:r>
        <w:rPr>
          <w:lang w:val="en-US"/>
        </w:rPr>
        <w:t xml:space="preserve"> January 2021.</w:t>
      </w:r>
    </w:p>
  </w:footnote>
  <w:footnote w:id="34">
    <w:p w14:paraId="084BA363" w14:textId="012AAC1A" w:rsidR="0038151F" w:rsidRPr="0038151F" w:rsidRDefault="0038151F">
      <w:pPr>
        <w:pStyle w:val="FootnoteText"/>
        <w:rPr>
          <w:lang w:val="en-US"/>
        </w:rPr>
      </w:pPr>
      <w:r>
        <w:rPr>
          <w:rStyle w:val="FootnoteReference"/>
        </w:rPr>
        <w:footnoteRef/>
      </w:r>
      <w:r>
        <w:t xml:space="preserve"> </w:t>
      </w:r>
      <w:hyperlink r:id="rId32" w:history="1">
        <w:r w:rsidRPr="00DD72FE">
          <w:rPr>
            <w:rStyle w:val="Hyperlink"/>
          </w:rPr>
          <w:t>Destitution in the UK: how the No Recourse to Public Funds immigration condition affects poverty</w:t>
        </w:r>
      </w:hyperlink>
      <w:r>
        <w:t>.</w:t>
      </w:r>
      <w:r w:rsidR="00DD72FE">
        <w:t xml:space="preserve"> COMPAS Oxford. 23</w:t>
      </w:r>
      <w:r w:rsidR="00DD72FE" w:rsidRPr="00DD72FE">
        <w:rPr>
          <w:vertAlign w:val="superscript"/>
        </w:rPr>
        <w:t>rd</w:t>
      </w:r>
      <w:r w:rsidR="00DD72FE">
        <w:t xml:space="preserve"> March 2022.</w:t>
      </w:r>
    </w:p>
  </w:footnote>
  <w:footnote w:id="35">
    <w:p w14:paraId="67812A77" w14:textId="3E647A67" w:rsidR="001E3040" w:rsidRPr="001E3040" w:rsidRDefault="001E3040">
      <w:pPr>
        <w:pStyle w:val="FootnoteText"/>
        <w:rPr>
          <w:lang w:val="en-US"/>
        </w:rPr>
      </w:pPr>
      <w:r>
        <w:rPr>
          <w:rStyle w:val="FootnoteReference"/>
        </w:rPr>
        <w:footnoteRef/>
      </w:r>
      <w:r>
        <w:t xml:space="preserve"> </w:t>
      </w:r>
      <w:hyperlink r:id="rId33" w:history="1">
        <w:r w:rsidRPr="00FB33DF">
          <w:rPr>
            <w:rStyle w:val="Hyperlink"/>
          </w:rPr>
          <w:t>Children In Poverty: No Recourse to Public Funds</w:t>
        </w:r>
      </w:hyperlink>
      <w:r w:rsidR="00FB33DF">
        <w:t>. UK Parliament. 14</w:t>
      </w:r>
      <w:r w:rsidR="00FB33DF" w:rsidRPr="00FB33DF">
        <w:rPr>
          <w:vertAlign w:val="superscript"/>
        </w:rPr>
        <w:t>th</w:t>
      </w:r>
      <w:r w:rsidR="00FB33DF">
        <w:t xml:space="preserve"> April 2022.</w:t>
      </w:r>
    </w:p>
  </w:footnote>
  <w:footnote w:id="36">
    <w:p w14:paraId="7037D783" w14:textId="1597EBF9" w:rsidR="00B62B73" w:rsidRPr="00B62B73" w:rsidRDefault="00B62B73">
      <w:pPr>
        <w:pStyle w:val="FootnoteText"/>
        <w:rPr>
          <w:lang w:val="en-US"/>
        </w:rPr>
      </w:pPr>
      <w:r>
        <w:rPr>
          <w:rStyle w:val="FootnoteReference"/>
        </w:rPr>
        <w:footnoteRef/>
      </w:r>
      <w:r>
        <w:t xml:space="preserve"> </w:t>
      </w:r>
      <w:hyperlink r:id="rId34" w:anchor=":~:text=Covid%20Response-,No%20Recourse%20To%20Public%20Funds%20is%20a%20public%20health%20risk,leaving%20them%20without%20the%20basics." w:history="1">
        <w:r w:rsidRPr="007A2C34">
          <w:rPr>
            <w:rStyle w:val="Hyperlink"/>
          </w:rPr>
          <w:t xml:space="preserve">No Recourse </w:t>
        </w:r>
        <w:proofErr w:type="gramStart"/>
        <w:r w:rsidRPr="007A2C34">
          <w:rPr>
            <w:rStyle w:val="Hyperlink"/>
          </w:rPr>
          <w:t>To</w:t>
        </w:r>
        <w:proofErr w:type="gramEnd"/>
        <w:r w:rsidRPr="007A2C34">
          <w:rPr>
            <w:rStyle w:val="Hyperlink"/>
          </w:rPr>
          <w:t xml:space="preserve"> Public Funds is a public health risk and causes destitution</w:t>
        </w:r>
      </w:hyperlink>
      <w:r>
        <w:t>. Joint Council for the Welfare of Immigrants.</w:t>
      </w:r>
      <w:r w:rsidR="007A2C34">
        <w:t xml:space="preserve"> March 2021.</w:t>
      </w:r>
    </w:p>
  </w:footnote>
  <w:footnote w:id="37">
    <w:p w14:paraId="79CF5B92" w14:textId="67434E08" w:rsidR="00D16935" w:rsidRPr="00D16935" w:rsidRDefault="00D16935">
      <w:pPr>
        <w:pStyle w:val="FootnoteText"/>
        <w:rPr>
          <w:lang w:val="en-US"/>
        </w:rPr>
      </w:pPr>
      <w:r>
        <w:rPr>
          <w:rStyle w:val="FootnoteReference"/>
        </w:rPr>
        <w:footnoteRef/>
      </w:r>
      <w:r>
        <w:t xml:space="preserve"> </w:t>
      </w:r>
      <w:hyperlink r:id="rId35" w:history="1">
        <w:r w:rsidRPr="00FB33DF">
          <w:rPr>
            <w:rStyle w:val="Hyperlink"/>
          </w:rPr>
          <w:t>Children In Poverty: No Recourse to Public Funds</w:t>
        </w:r>
      </w:hyperlink>
      <w:r>
        <w:t>. UK Parliament. 14</w:t>
      </w:r>
      <w:r w:rsidRPr="00FB33DF">
        <w:rPr>
          <w:vertAlign w:val="superscript"/>
        </w:rPr>
        <w:t>th</w:t>
      </w:r>
      <w:r>
        <w:t xml:space="preserve"> April 2022.</w:t>
      </w:r>
    </w:p>
  </w:footnote>
  <w:footnote w:id="38">
    <w:p w14:paraId="2730C37B" w14:textId="7D5D2DB0" w:rsidR="00F909C7" w:rsidRPr="00F909C7" w:rsidRDefault="00F909C7">
      <w:pPr>
        <w:pStyle w:val="FootnoteText"/>
        <w:rPr>
          <w:lang w:val="en-US"/>
        </w:rPr>
      </w:pPr>
      <w:r>
        <w:rPr>
          <w:rStyle w:val="FootnoteReference"/>
        </w:rPr>
        <w:footnoteRef/>
      </w:r>
      <w:r>
        <w:t xml:space="preserve"> </w:t>
      </w:r>
      <w:hyperlink r:id="rId36" w:history="1">
        <w:r w:rsidRPr="000442AB">
          <w:rPr>
            <w:rStyle w:val="Hyperlink"/>
            <w:lang w:val="en-US"/>
          </w:rPr>
          <w:t>No Recourse to Public Funds Network website</w:t>
        </w:r>
      </w:hyperlink>
      <w:r>
        <w:rPr>
          <w:lang w:val="en-US"/>
        </w:rPr>
        <w:t>. Accessed</w:t>
      </w:r>
      <w:r w:rsidR="000442AB">
        <w:rPr>
          <w:lang w:val="en-US"/>
        </w:rPr>
        <w:t xml:space="preserve"> 29</w:t>
      </w:r>
      <w:r w:rsidR="000442AB" w:rsidRPr="000442AB">
        <w:rPr>
          <w:vertAlign w:val="superscript"/>
          <w:lang w:val="en-US"/>
        </w:rPr>
        <w:t>th</w:t>
      </w:r>
      <w:r w:rsidR="000442AB">
        <w:rPr>
          <w:lang w:val="en-US"/>
        </w:rPr>
        <w:t xml:space="preserve"> July 2022.</w:t>
      </w:r>
    </w:p>
  </w:footnote>
  <w:footnote w:id="39">
    <w:p w14:paraId="1B743E05" w14:textId="6E7AFA23" w:rsidR="00BC35D1" w:rsidRPr="00BC35D1" w:rsidRDefault="00BC35D1" w:rsidP="006B386F">
      <w:pPr>
        <w:pStyle w:val="FootnoteText"/>
        <w:rPr>
          <w:lang w:val="en-US"/>
        </w:rPr>
      </w:pPr>
      <w:r>
        <w:rPr>
          <w:rStyle w:val="FootnoteReference"/>
        </w:rPr>
        <w:footnoteRef/>
      </w:r>
      <w:r w:rsidR="006B386F">
        <w:t xml:space="preserve"> </w:t>
      </w:r>
      <w:hyperlink r:id="rId37" w:history="1">
        <w:r w:rsidR="006B386F" w:rsidRPr="006B386F">
          <w:rPr>
            <w:rStyle w:val="Hyperlink"/>
          </w:rPr>
          <w:t>The Treatment of Asylum Seekers</w:t>
        </w:r>
      </w:hyperlink>
      <w:r w:rsidR="006B386F">
        <w:t>. Joint Committee on Human Rights. 30</w:t>
      </w:r>
      <w:r w:rsidR="006B386F" w:rsidRPr="006B386F">
        <w:rPr>
          <w:vertAlign w:val="superscript"/>
        </w:rPr>
        <w:t>th</w:t>
      </w:r>
      <w:r w:rsidR="006B386F">
        <w:t xml:space="preserve"> March 2007.</w:t>
      </w:r>
      <w:r>
        <w:t xml:space="preserve"> </w:t>
      </w:r>
    </w:p>
  </w:footnote>
  <w:footnote w:id="40">
    <w:p w14:paraId="11033609" w14:textId="689974CA" w:rsidR="00866668" w:rsidRPr="00866668" w:rsidRDefault="00866668">
      <w:pPr>
        <w:pStyle w:val="FootnoteText"/>
        <w:rPr>
          <w:lang w:val="en-US"/>
        </w:rPr>
      </w:pPr>
      <w:r>
        <w:rPr>
          <w:rStyle w:val="FootnoteReference"/>
        </w:rPr>
        <w:footnoteRef/>
      </w:r>
      <w:r>
        <w:t xml:space="preserve"> </w:t>
      </w:r>
      <w:hyperlink r:id="rId38" w:anchor=":~:text=Covid%20Response-,No%20Recourse%20To%20Public%20Funds%20is%20a%20public%20health%20risk,leaving%20them%20without%20the%20basics." w:history="1">
        <w:r w:rsidRPr="007A2C34">
          <w:rPr>
            <w:rStyle w:val="Hyperlink"/>
          </w:rPr>
          <w:t xml:space="preserve">No Recourse </w:t>
        </w:r>
        <w:proofErr w:type="gramStart"/>
        <w:r w:rsidRPr="007A2C34">
          <w:rPr>
            <w:rStyle w:val="Hyperlink"/>
          </w:rPr>
          <w:t>To</w:t>
        </w:r>
        <w:proofErr w:type="gramEnd"/>
        <w:r w:rsidRPr="007A2C34">
          <w:rPr>
            <w:rStyle w:val="Hyperlink"/>
          </w:rPr>
          <w:t xml:space="preserve"> Public Funds is a public health risk and causes destitution</w:t>
        </w:r>
      </w:hyperlink>
      <w:r>
        <w:t>. Joint Council for the Welfare of Immigrants. March 2021.</w:t>
      </w:r>
    </w:p>
  </w:footnote>
  <w:footnote w:id="41">
    <w:p w14:paraId="67156FBC" w14:textId="1044B4CC" w:rsidR="00AF3AEF" w:rsidRPr="00AF3AEF" w:rsidRDefault="00AF3AEF">
      <w:pPr>
        <w:pStyle w:val="FootnoteText"/>
        <w:rPr>
          <w:lang w:val="en-US"/>
        </w:rPr>
      </w:pPr>
      <w:r>
        <w:rPr>
          <w:rStyle w:val="FootnoteReference"/>
        </w:rPr>
        <w:footnoteRef/>
      </w:r>
      <w:r>
        <w:t xml:space="preserve"> </w:t>
      </w:r>
      <w:hyperlink r:id="rId39" w:anchor=":~:text=It%20finds%3A,%25)%20have%20the%20lowest%20rates." w:history="1">
        <w:r w:rsidRPr="00772CB8">
          <w:rPr>
            <w:rStyle w:val="Hyperlink"/>
            <w:lang w:val="en-US"/>
          </w:rPr>
          <w:t>Poverty rates among ethnic groups in Great Britain</w:t>
        </w:r>
      </w:hyperlink>
      <w:r>
        <w:rPr>
          <w:lang w:val="en-US"/>
        </w:rPr>
        <w:t>. Joseph Rowntree Foundation</w:t>
      </w:r>
      <w:r w:rsidR="00772CB8">
        <w:rPr>
          <w:lang w:val="en-US"/>
        </w:rPr>
        <w:t>. 30</w:t>
      </w:r>
      <w:r w:rsidR="00772CB8" w:rsidRPr="00772CB8">
        <w:rPr>
          <w:vertAlign w:val="superscript"/>
          <w:lang w:val="en-US"/>
        </w:rPr>
        <w:t>th</w:t>
      </w:r>
      <w:r w:rsidR="00772CB8">
        <w:rPr>
          <w:lang w:val="en-US"/>
        </w:rPr>
        <w:t xml:space="preserve"> April 2007.</w:t>
      </w:r>
    </w:p>
  </w:footnote>
  <w:footnote w:id="42">
    <w:p w14:paraId="2A53C2EC" w14:textId="463CD067" w:rsidR="00772CB8" w:rsidRPr="00772CB8" w:rsidRDefault="00772CB8">
      <w:pPr>
        <w:pStyle w:val="FootnoteText"/>
        <w:rPr>
          <w:lang w:val="en-US"/>
        </w:rPr>
      </w:pPr>
      <w:r>
        <w:rPr>
          <w:rStyle w:val="FootnoteReference"/>
        </w:rPr>
        <w:footnoteRef/>
      </w:r>
      <w:r>
        <w:t xml:space="preserve"> </w:t>
      </w:r>
      <w:hyperlink r:id="rId40" w:anchor=":~:text=It%20finds%3A,%25)%20have%20the%20lowest%20rates." w:history="1">
        <w:r w:rsidRPr="00772CB8">
          <w:rPr>
            <w:rStyle w:val="Hyperlink"/>
            <w:lang w:val="en-US"/>
          </w:rPr>
          <w:t>Poverty rates among ethnic groups in Great Britain</w:t>
        </w:r>
      </w:hyperlink>
      <w:r>
        <w:rPr>
          <w:lang w:val="en-US"/>
        </w:rPr>
        <w:t>. Joseph Rowntree Foundation. 30</w:t>
      </w:r>
      <w:r w:rsidRPr="00772CB8">
        <w:rPr>
          <w:vertAlign w:val="superscript"/>
          <w:lang w:val="en-US"/>
        </w:rPr>
        <w:t>th</w:t>
      </w:r>
      <w:r>
        <w:rPr>
          <w:lang w:val="en-US"/>
        </w:rPr>
        <w:t xml:space="preserve"> April 2007.</w:t>
      </w:r>
    </w:p>
  </w:footnote>
  <w:footnote w:id="43">
    <w:p w14:paraId="309BB083" w14:textId="31C2A326" w:rsidR="009F11FA" w:rsidRPr="009F11FA" w:rsidRDefault="009F11FA">
      <w:pPr>
        <w:pStyle w:val="FootnoteText"/>
        <w:rPr>
          <w:lang w:val="en-US"/>
        </w:rPr>
      </w:pPr>
      <w:r>
        <w:rPr>
          <w:rStyle w:val="FootnoteReference"/>
        </w:rPr>
        <w:footnoteRef/>
      </w:r>
      <w:r>
        <w:t xml:space="preserve"> </w:t>
      </w:r>
      <w:hyperlink r:id="rId41" w:history="1">
        <w:r w:rsidRPr="00584116">
          <w:rPr>
            <w:rStyle w:val="Hyperlink"/>
            <w:lang w:val="en-US"/>
          </w:rPr>
          <w:t>Women and Poverty during the Pandemic</w:t>
        </w:r>
      </w:hyperlink>
      <w:r>
        <w:rPr>
          <w:lang w:val="en-US"/>
        </w:rPr>
        <w:t>. Women’s Resource Centre.</w:t>
      </w:r>
      <w:r w:rsidR="00584116">
        <w:rPr>
          <w:lang w:val="en-US"/>
        </w:rPr>
        <w:t xml:space="preserve"> 20</w:t>
      </w:r>
      <w:r w:rsidR="00584116" w:rsidRPr="00584116">
        <w:rPr>
          <w:vertAlign w:val="superscript"/>
          <w:lang w:val="en-US"/>
        </w:rPr>
        <w:t>th</w:t>
      </w:r>
      <w:r w:rsidR="00584116">
        <w:rPr>
          <w:lang w:val="en-US"/>
        </w:rPr>
        <w:t xml:space="preserve"> July 2020.</w:t>
      </w:r>
    </w:p>
  </w:footnote>
  <w:footnote w:id="44">
    <w:p w14:paraId="72CA1550" w14:textId="616A46C0" w:rsidR="000F287A" w:rsidRPr="000F287A" w:rsidRDefault="000F287A">
      <w:pPr>
        <w:pStyle w:val="FootnoteText"/>
        <w:rPr>
          <w:lang w:val="en-US"/>
        </w:rPr>
      </w:pPr>
      <w:r>
        <w:rPr>
          <w:rStyle w:val="FootnoteReference"/>
        </w:rPr>
        <w:footnoteRef/>
      </w:r>
      <w:r>
        <w:t xml:space="preserve"> </w:t>
      </w:r>
      <w:r>
        <w:rPr>
          <w:lang w:val="en-US"/>
        </w:rPr>
        <w:t>Interview with NPC. 12</w:t>
      </w:r>
      <w:r w:rsidRPr="000F287A">
        <w:rPr>
          <w:vertAlign w:val="superscript"/>
          <w:lang w:val="en-US"/>
        </w:rPr>
        <w:t>th</w:t>
      </w:r>
      <w:r>
        <w:rPr>
          <w:lang w:val="en-US"/>
        </w:rPr>
        <w:t xml:space="preserve"> July 2022.</w:t>
      </w:r>
    </w:p>
  </w:footnote>
  <w:footnote w:id="45">
    <w:p w14:paraId="781F8538" w14:textId="3EEFA765" w:rsidR="00725323" w:rsidRPr="00725323" w:rsidRDefault="00725323">
      <w:pPr>
        <w:pStyle w:val="FootnoteText"/>
        <w:rPr>
          <w:lang w:val="en-US"/>
        </w:rPr>
      </w:pPr>
      <w:r>
        <w:rPr>
          <w:rStyle w:val="FootnoteReference"/>
        </w:rPr>
        <w:footnoteRef/>
      </w:r>
      <w:r>
        <w:t xml:space="preserve"> </w:t>
      </w:r>
      <w:hyperlink r:id="rId42" w:history="1">
        <w:r w:rsidRPr="00CF39BF">
          <w:rPr>
            <w:rStyle w:val="Hyperlink"/>
            <w:lang w:val="en-US"/>
          </w:rPr>
          <w:t>Financial Hardship in Black Households.</w:t>
        </w:r>
      </w:hyperlink>
      <w:r w:rsidR="00CF39BF">
        <w:rPr>
          <w:lang w:val="en-US"/>
        </w:rPr>
        <w:t xml:space="preserve"> United for Alice. June 2020.</w:t>
      </w:r>
    </w:p>
  </w:footnote>
  <w:footnote w:id="46">
    <w:p w14:paraId="23B69924" w14:textId="058CFC3E" w:rsidR="00A4461E" w:rsidRPr="00A4461E" w:rsidRDefault="00A4461E">
      <w:pPr>
        <w:pStyle w:val="FootnoteText"/>
        <w:rPr>
          <w:lang w:val="en-US"/>
        </w:rPr>
      </w:pPr>
      <w:r>
        <w:rPr>
          <w:rStyle w:val="FootnoteReference"/>
        </w:rPr>
        <w:footnoteRef/>
      </w:r>
      <w:r>
        <w:t xml:space="preserve"> </w:t>
      </w:r>
      <w:hyperlink r:id="rId43" w:anchor=":~:text=It%20finds%3A,%25)%20have%20the%20lowest%20rates." w:history="1">
        <w:r w:rsidRPr="00772CB8">
          <w:rPr>
            <w:rStyle w:val="Hyperlink"/>
            <w:lang w:val="en-US"/>
          </w:rPr>
          <w:t>Poverty rates among ethnic groups in Great Britain</w:t>
        </w:r>
      </w:hyperlink>
      <w:r>
        <w:rPr>
          <w:lang w:val="en-US"/>
        </w:rPr>
        <w:t>. Joseph Rowntree Foundation. 30</w:t>
      </w:r>
      <w:r w:rsidRPr="00772CB8">
        <w:rPr>
          <w:vertAlign w:val="superscript"/>
          <w:lang w:val="en-US"/>
        </w:rPr>
        <w:t>th</w:t>
      </w:r>
      <w:r>
        <w:rPr>
          <w:lang w:val="en-US"/>
        </w:rPr>
        <w:t xml:space="preserve"> April 2007.</w:t>
      </w:r>
    </w:p>
  </w:footnote>
  <w:footnote w:id="47">
    <w:p w14:paraId="4F517986" w14:textId="5980C7D5" w:rsidR="00757ADF" w:rsidRPr="00757ADF" w:rsidRDefault="00757ADF">
      <w:pPr>
        <w:pStyle w:val="FootnoteText"/>
        <w:rPr>
          <w:lang w:val="en-US"/>
        </w:rPr>
      </w:pPr>
      <w:r>
        <w:rPr>
          <w:rStyle w:val="FootnoteReference"/>
        </w:rPr>
        <w:footnoteRef/>
      </w:r>
      <w:r>
        <w:t xml:space="preserve"> </w:t>
      </w:r>
      <w:hyperlink r:id="rId44" w:history="1">
        <w:r w:rsidRPr="002A74F0">
          <w:rPr>
            <w:rStyle w:val="Hyperlink"/>
            <w:lang w:val="en-US"/>
          </w:rPr>
          <w:t>Gender, Personal Finances and Covid-19</w:t>
        </w:r>
      </w:hyperlink>
      <w:r>
        <w:rPr>
          <w:lang w:val="en-US"/>
        </w:rPr>
        <w:t xml:space="preserve">. Financial Conduct Authority. </w:t>
      </w:r>
      <w:r w:rsidR="002A74F0">
        <w:rPr>
          <w:lang w:val="en-US"/>
        </w:rPr>
        <w:t>24</w:t>
      </w:r>
      <w:r w:rsidR="002A74F0" w:rsidRPr="002A74F0">
        <w:rPr>
          <w:vertAlign w:val="superscript"/>
          <w:lang w:val="en-US"/>
        </w:rPr>
        <w:t>th</w:t>
      </w:r>
      <w:r w:rsidR="002A74F0">
        <w:rPr>
          <w:lang w:val="en-US"/>
        </w:rPr>
        <w:t xml:space="preserve"> May 2021.</w:t>
      </w:r>
    </w:p>
  </w:footnote>
  <w:footnote w:id="48">
    <w:p w14:paraId="74157415" w14:textId="384C4A43" w:rsidR="00AC795D" w:rsidRPr="00AC795D" w:rsidRDefault="00AC795D">
      <w:pPr>
        <w:pStyle w:val="FootnoteText"/>
        <w:rPr>
          <w:lang w:val="en-US"/>
        </w:rPr>
      </w:pPr>
      <w:r>
        <w:rPr>
          <w:rStyle w:val="FootnoteReference"/>
        </w:rPr>
        <w:footnoteRef/>
      </w:r>
      <w:r>
        <w:t xml:space="preserve"> </w:t>
      </w:r>
      <w:hyperlink r:id="rId45" w:history="1">
        <w:r w:rsidRPr="00A448CE">
          <w:rPr>
            <w:rStyle w:val="Hyperlink"/>
            <w:lang w:val="en-US"/>
          </w:rPr>
          <w:t>Why we need civil society to stand up and lead.</w:t>
        </w:r>
      </w:hyperlink>
      <w:r w:rsidR="00A448CE">
        <w:rPr>
          <w:lang w:val="en-US"/>
        </w:rPr>
        <w:t xml:space="preserve"> Commission on Civil Society. Accessed 28</w:t>
      </w:r>
      <w:r w:rsidR="00A448CE" w:rsidRPr="00A448CE">
        <w:rPr>
          <w:vertAlign w:val="superscript"/>
          <w:lang w:val="en-US"/>
        </w:rPr>
        <w:t>th</w:t>
      </w:r>
      <w:r w:rsidR="00A448CE">
        <w:rPr>
          <w:lang w:val="en-US"/>
        </w:rPr>
        <w:t xml:space="preserve"> July 2022.</w:t>
      </w:r>
    </w:p>
  </w:footnote>
  <w:footnote w:id="49">
    <w:p w14:paraId="1C8FF160" w14:textId="44431AFA" w:rsidR="00DD50B8" w:rsidRPr="00DD50B8" w:rsidRDefault="00DD50B8">
      <w:pPr>
        <w:pStyle w:val="FootnoteText"/>
        <w:rPr>
          <w:lang w:val="en-US"/>
        </w:rPr>
      </w:pPr>
      <w:r>
        <w:rPr>
          <w:rStyle w:val="FootnoteReference"/>
        </w:rPr>
        <w:footnoteRef/>
      </w:r>
      <w:r>
        <w:t xml:space="preserve"> </w:t>
      </w:r>
      <w:hyperlink r:id="rId46" w:history="1">
        <w:r w:rsidRPr="00704432">
          <w:rPr>
            <w:rStyle w:val="Hyperlink"/>
            <w:lang w:val="en-US"/>
          </w:rPr>
          <w:t xml:space="preserve">The financial impact of Covid-19 on disabled people and </w:t>
        </w:r>
        <w:proofErr w:type="spellStart"/>
        <w:r w:rsidRPr="00704432">
          <w:rPr>
            <w:rStyle w:val="Hyperlink"/>
            <w:lang w:val="en-US"/>
          </w:rPr>
          <w:t>carers</w:t>
        </w:r>
        <w:proofErr w:type="spellEnd"/>
        <w:r w:rsidRPr="00704432">
          <w:rPr>
            <w:rStyle w:val="Hyperlink"/>
            <w:lang w:val="en-US"/>
          </w:rPr>
          <w:t>.</w:t>
        </w:r>
      </w:hyperlink>
      <w:r>
        <w:rPr>
          <w:lang w:val="en-US"/>
        </w:rPr>
        <w:t xml:space="preserve"> Joseph Rowntree Foundation.</w:t>
      </w:r>
      <w:r w:rsidR="00704432">
        <w:rPr>
          <w:lang w:val="en-US"/>
        </w:rPr>
        <w:t xml:space="preserve"> 3</w:t>
      </w:r>
      <w:r w:rsidR="00704432" w:rsidRPr="00704432">
        <w:rPr>
          <w:vertAlign w:val="superscript"/>
          <w:lang w:val="en-US"/>
        </w:rPr>
        <w:t>rd</w:t>
      </w:r>
      <w:r w:rsidR="00704432">
        <w:rPr>
          <w:lang w:val="en-US"/>
        </w:rPr>
        <w:t xml:space="preserve"> December 2020.</w:t>
      </w:r>
    </w:p>
  </w:footnote>
  <w:footnote w:id="50">
    <w:p w14:paraId="0A472FA6" w14:textId="6A133E5F" w:rsidR="00704432" w:rsidRPr="00704432" w:rsidRDefault="00704432">
      <w:pPr>
        <w:pStyle w:val="FootnoteText"/>
        <w:rPr>
          <w:lang w:val="en-US"/>
        </w:rPr>
      </w:pPr>
      <w:r>
        <w:rPr>
          <w:rStyle w:val="FootnoteReference"/>
        </w:rPr>
        <w:footnoteRef/>
      </w:r>
      <w:r>
        <w:t xml:space="preserve"> </w:t>
      </w:r>
      <w:hyperlink r:id="rId47" w:history="1">
        <w:r w:rsidRPr="00704432">
          <w:rPr>
            <w:rStyle w:val="Hyperlink"/>
            <w:lang w:val="en-US"/>
          </w:rPr>
          <w:t xml:space="preserve">The financial impact of Covid-19 on disabled people and </w:t>
        </w:r>
        <w:proofErr w:type="spellStart"/>
        <w:r w:rsidRPr="00704432">
          <w:rPr>
            <w:rStyle w:val="Hyperlink"/>
            <w:lang w:val="en-US"/>
          </w:rPr>
          <w:t>carers</w:t>
        </w:r>
        <w:proofErr w:type="spellEnd"/>
        <w:r w:rsidRPr="00704432">
          <w:rPr>
            <w:rStyle w:val="Hyperlink"/>
            <w:lang w:val="en-US"/>
          </w:rPr>
          <w:t>.</w:t>
        </w:r>
      </w:hyperlink>
      <w:r>
        <w:rPr>
          <w:lang w:val="en-US"/>
        </w:rPr>
        <w:t xml:space="preserve"> Joseph Rowntree Foundation. 3</w:t>
      </w:r>
      <w:r w:rsidRPr="00704432">
        <w:rPr>
          <w:vertAlign w:val="superscript"/>
          <w:lang w:val="en-US"/>
        </w:rPr>
        <w:t>rd</w:t>
      </w:r>
      <w:r>
        <w:rPr>
          <w:lang w:val="en-US"/>
        </w:rPr>
        <w:t xml:space="preserve"> December 2020.</w:t>
      </w:r>
    </w:p>
  </w:footnote>
  <w:footnote w:id="51">
    <w:p w14:paraId="5A0BC49C" w14:textId="682206E3" w:rsidR="002903CE" w:rsidRPr="00734EFB" w:rsidRDefault="002903CE" w:rsidP="002903CE">
      <w:pPr>
        <w:spacing w:after="0"/>
        <w:rPr>
          <w:rFonts w:ascii="Arial" w:eastAsia="Times New Roman" w:hAnsi="Arial" w:cs="Arial"/>
          <w:color w:val="595959" w:themeColor="text1" w:themeTint="A6"/>
          <w:sz w:val="18"/>
          <w:szCs w:val="18"/>
          <w:lang w:eastAsia="en-GB"/>
        </w:rPr>
      </w:pPr>
      <w:r w:rsidRPr="00734EFB">
        <w:rPr>
          <w:rStyle w:val="FootnoteReference"/>
          <w:color w:val="595959" w:themeColor="text1" w:themeTint="A6"/>
        </w:rPr>
        <w:footnoteRef/>
      </w:r>
      <w:r w:rsidRPr="00734EFB">
        <w:rPr>
          <w:color w:val="595959" w:themeColor="text1" w:themeTint="A6"/>
        </w:rPr>
        <w:t xml:space="preserve"> </w:t>
      </w:r>
      <w:hyperlink r:id="rId48" w:history="1">
        <w:r w:rsidRPr="00734EFB">
          <w:rPr>
            <w:rStyle w:val="Hyperlink"/>
            <w:rFonts w:ascii="Arial" w:eastAsia="Times New Roman" w:hAnsi="Arial" w:cs="Arial"/>
            <w:color w:val="EC0080" w:themeColor="accent3"/>
            <w:sz w:val="18"/>
            <w:szCs w:val="18"/>
            <w:lang w:eastAsia="en-GB"/>
          </w:rPr>
          <w:t>An Avoidable Crisis: The disproportionate impact of Covid-19 on Black, Asian and minority ethnic communities.</w:t>
        </w:r>
      </w:hyperlink>
      <w:r w:rsidRPr="00734EFB">
        <w:rPr>
          <w:rFonts w:ascii="Arial" w:eastAsia="Times New Roman" w:hAnsi="Arial" w:cs="Arial"/>
          <w:color w:val="EC0080" w:themeColor="accent3"/>
          <w:sz w:val="18"/>
          <w:szCs w:val="18"/>
          <w:lang w:eastAsia="en-GB"/>
        </w:rPr>
        <w:t xml:space="preserve"> </w:t>
      </w:r>
      <w:r w:rsidRPr="00734EFB">
        <w:rPr>
          <w:rFonts w:ascii="Arial" w:eastAsia="Times New Roman" w:hAnsi="Arial" w:cs="Arial"/>
          <w:color w:val="595959" w:themeColor="text1" w:themeTint="A6"/>
          <w:sz w:val="18"/>
          <w:szCs w:val="18"/>
          <w:lang w:eastAsia="en-GB"/>
        </w:rPr>
        <w:t>Lawrence Review</w:t>
      </w:r>
      <w:r w:rsidR="00734EFB" w:rsidRPr="00734EFB">
        <w:rPr>
          <w:rFonts w:ascii="Arial" w:eastAsia="Times New Roman" w:hAnsi="Arial" w:cs="Arial"/>
          <w:color w:val="595959" w:themeColor="text1" w:themeTint="A6"/>
          <w:sz w:val="18"/>
          <w:szCs w:val="18"/>
          <w:lang w:eastAsia="en-GB"/>
        </w:rPr>
        <w:t>. Accessed 29</w:t>
      </w:r>
      <w:r w:rsidR="00734EFB" w:rsidRPr="00734EFB">
        <w:rPr>
          <w:rFonts w:ascii="Arial" w:eastAsia="Times New Roman" w:hAnsi="Arial" w:cs="Arial"/>
          <w:color w:val="595959" w:themeColor="text1" w:themeTint="A6"/>
          <w:sz w:val="18"/>
          <w:szCs w:val="18"/>
          <w:vertAlign w:val="superscript"/>
          <w:lang w:eastAsia="en-GB"/>
        </w:rPr>
        <w:t>th</w:t>
      </w:r>
      <w:r w:rsidR="00734EFB" w:rsidRPr="00734EFB">
        <w:rPr>
          <w:rFonts w:ascii="Arial" w:eastAsia="Times New Roman" w:hAnsi="Arial" w:cs="Arial"/>
          <w:color w:val="595959" w:themeColor="text1" w:themeTint="A6"/>
          <w:sz w:val="18"/>
          <w:szCs w:val="18"/>
          <w:lang w:eastAsia="en-GB"/>
        </w:rPr>
        <w:t xml:space="preserve"> July 2022.</w:t>
      </w:r>
    </w:p>
    <w:p w14:paraId="6D856468" w14:textId="764FAA94" w:rsidR="002903CE" w:rsidRPr="002903CE" w:rsidRDefault="002903CE">
      <w:pPr>
        <w:pStyle w:val="FootnoteText"/>
        <w:rPr>
          <w:lang w:val="en-US"/>
        </w:rPr>
      </w:pPr>
    </w:p>
  </w:footnote>
  <w:footnote w:id="52">
    <w:p w14:paraId="780B8448" w14:textId="4307C234" w:rsidR="008F7638" w:rsidRPr="008F7638" w:rsidRDefault="008F7638">
      <w:pPr>
        <w:pStyle w:val="FootnoteText"/>
        <w:rPr>
          <w:lang w:val="en-US"/>
        </w:rPr>
      </w:pPr>
      <w:r>
        <w:rPr>
          <w:rStyle w:val="FootnoteReference"/>
        </w:rPr>
        <w:footnoteRef/>
      </w:r>
      <w:r>
        <w:t xml:space="preserve"> </w:t>
      </w:r>
      <w:hyperlink r:id="rId49" w:history="1">
        <w:r w:rsidRPr="00831653">
          <w:rPr>
            <w:rStyle w:val="Hyperlink"/>
            <w:lang w:val="en-US"/>
          </w:rPr>
          <w:t>We cannot allow the pandemic to set gender parity back decades</w:t>
        </w:r>
      </w:hyperlink>
      <w:r>
        <w:rPr>
          <w:lang w:val="en-US"/>
        </w:rPr>
        <w:t>. Joseph Rowntree Foundation. 8</w:t>
      </w:r>
      <w:r w:rsidRPr="00831653">
        <w:rPr>
          <w:vertAlign w:val="superscript"/>
          <w:lang w:val="en-US"/>
        </w:rPr>
        <w:t>th</w:t>
      </w:r>
      <w:r>
        <w:rPr>
          <w:lang w:val="en-US"/>
        </w:rPr>
        <w:t xml:space="preserve"> March 2021.</w:t>
      </w:r>
    </w:p>
  </w:footnote>
  <w:footnote w:id="53">
    <w:p w14:paraId="2ED1C3AD" w14:textId="3CBBA313" w:rsidR="00D81AF7" w:rsidRPr="00D81AF7" w:rsidRDefault="00D81AF7">
      <w:pPr>
        <w:pStyle w:val="FootnoteText"/>
        <w:rPr>
          <w:lang w:val="en-US"/>
        </w:rPr>
      </w:pPr>
      <w:r>
        <w:rPr>
          <w:rStyle w:val="FootnoteReference"/>
        </w:rPr>
        <w:footnoteRef/>
      </w:r>
      <w:r>
        <w:t xml:space="preserve"> </w:t>
      </w:r>
      <w:hyperlink r:id="rId50" w:history="1">
        <w:r w:rsidRPr="00831653">
          <w:rPr>
            <w:rStyle w:val="Hyperlink"/>
            <w:lang w:val="en-US"/>
          </w:rPr>
          <w:t>We cannot allow the pandemic to set gender parity back decades</w:t>
        </w:r>
      </w:hyperlink>
      <w:r w:rsidR="00831653">
        <w:rPr>
          <w:lang w:val="en-US"/>
        </w:rPr>
        <w:t>. Joseph Rowntree Foundation. 8</w:t>
      </w:r>
      <w:r w:rsidR="00831653" w:rsidRPr="00831653">
        <w:rPr>
          <w:vertAlign w:val="superscript"/>
          <w:lang w:val="en-US"/>
        </w:rPr>
        <w:t>th</w:t>
      </w:r>
      <w:r w:rsidR="00831653">
        <w:rPr>
          <w:lang w:val="en-US"/>
        </w:rPr>
        <w:t xml:space="preserve"> March 2021. </w:t>
      </w:r>
    </w:p>
  </w:footnote>
  <w:footnote w:id="54">
    <w:p w14:paraId="021F327A" w14:textId="05F2D6F7" w:rsidR="008A6E34" w:rsidRPr="008A6E34" w:rsidRDefault="008A6E34">
      <w:pPr>
        <w:pStyle w:val="FootnoteText"/>
        <w:rPr>
          <w:lang w:val="en-US"/>
        </w:rPr>
      </w:pPr>
      <w:r>
        <w:rPr>
          <w:rStyle w:val="FootnoteReference"/>
        </w:rPr>
        <w:footnoteRef/>
      </w:r>
      <w:r>
        <w:t xml:space="preserve"> </w:t>
      </w:r>
      <w:hyperlink r:id="rId51" w:anchor=":~:text=Covid%20Response-,No%20Recourse%20To%20Public%20Funds%20is%20a%20public%20health%20risk,leaving%20them%20without%20the%20basics." w:history="1">
        <w:r w:rsidRPr="007A2C34">
          <w:rPr>
            <w:rStyle w:val="Hyperlink"/>
          </w:rPr>
          <w:t xml:space="preserve">No Recourse </w:t>
        </w:r>
        <w:proofErr w:type="gramStart"/>
        <w:r w:rsidRPr="007A2C34">
          <w:rPr>
            <w:rStyle w:val="Hyperlink"/>
          </w:rPr>
          <w:t>To</w:t>
        </w:r>
        <w:proofErr w:type="gramEnd"/>
        <w:r w:rsidRPr="007A2C34">
          <w:rPr>
            <w:rStyle w:val="Hyperlink"/>
          </w:rPr>
          <w:t xml:space="preserve"> Public Funds is a public health risk and causes destitution</w:t>
        </w:r>
      </w:hyperlink>
      <w:r>
        <w:t>. Joint Council for the Welfare of Immigrants. March 2021.</w:t>
      </w:r>
    </w:p>
  </w:footnote>
  <w:footnote w:id="55">
    <w:p w14:paraId="71F215E5" w14:textId="5A2C253E" w:rsidR="008A6E34" w:rsidRPr="008A6E34" w:rsidRDefault="008A6E34">
      <w:pPr>
        <w:pStyle w:val="FootnoteText"/>
        <w:rPr>
          <w:lang w:val="en-US"/>
        </w:rPr>
      </w:pPr>
      <w:r>
        <w:rPr>
          <w:rStyle w:val="FootnoteReference"/>
        </w:rPr>
        <w:footnoteRef/>
      </w:r>
      <w:r>
        <w:t xml:space="preserve"> </w:t>
      </w:r>
      <w:hyperlink r:id="rId52" w:anchor=":~:text=Covid%20Response-,No%20Recourse%20To%20Public%20Funds%20is%20a%20public%20health%20risk,leaving%20them%20without%20the%20basics." w:history="1">
        <w:r w:rsidRPr="007A2C34">
          <w:rPr>
            <w:rStyle w:val="Hyperlink"/>
          </w:rPr>
          <w:t xml:space="preserve">No Recourse </w:t>
        </w:r>
        <w:proofErr w:type="gramStart"/>
        <w:r w:rsidRPr="007A2C34">
          <w:rPr>
            <w:rStyle w:val="Hyperlink"/>
          </w:rPr>
          <w:t>To</w:t>
        </w:r>
        <w:proofErr w:type="gramEnd"/>
        <w:r w:rsidRPr="007A2C34">
          <w:rPr>
            <w:rStyle w:val="Hyperlink"/>
          </w:rPr>
          <w:t xml:space="preserve"> Public Funds is a public health risk and causes destitution</w:t>
        </w:r>
      </w:hyperlink>
      <w:r>
        <w:t>. Joint Council for the Welfare of Immigrants. March 2021.</w:t>
      </w:r>
    </w:p>
  </w:footnote>
  <w:footnote w:id="56">
    <w:p w14:paraId="58544811" w14:textId="46D56457" w:rsidR="00E63478" w:rsidRPr="00E63478" w:rsidRDefault="00E63478">
      <w:pPr>
        <w:pStyle w:val="FootnoteText"/>
        <w:rPr>
          <w:lang w:val="en-US"/>
        </w:rPr>
      </w:pPr>
      <w:r>
        <w:rPr>
          <w:rStyle w:val="FootnoteReference"/>
        </w:rPr>
        <w:footnoteRef/>
      </w:r>
      <w:r>
        <w:t xml:space="preserve"> </w:t>
      </w:r>
      <w:hyperlink r:id="rId53" w:history="1">
        <w:r w:rsidR="00C3731C" w:rsidRPr="00A525BB">
          <w:rPr>
            <w:rStyle w:val="Hyperlink"/>
            <w:lang w:val="en-US"/>
          </w:rPr>
          <w:t>UK cost of living crisis: what’s happening, why, and what might help</w:t>
        </w:r>
      </w:hyperlink>
      <w:r w:rsidR="00C3731C">
        <w:rPr>
          <w:lang w:val="en-US"/>
        </w:rPr>
        <w:t>. ZD Net. 24 May 2022.</w:t>
      </w:r>
    </w:p>
  </w:footnote>
  <w:footnote w:id="57">
    <w:p w14:paraId="1BC4C155" w14:textId="14037037" w:rsidR="00DF090D" w:rsidRPr="00DF090D" w:rsidRDefault="00DF090D">
      <w:pPr>
        <w:pStyle w:val="FootnoteText"/>
        <w:rPr>
          <w:lang w:val="en-US"/>
        </w:rPr>
      </w:pPr>
      <w:r>
        <w:rPr>
          <w:rStyle w:val="FootnoteReference"/>
        </w:rPr>
        <w:footnoteRef/>
      </w:r>
      <w:r>
        <w:t xml:space="preserve"> </w:t>
      </w:r>
      <w:r>
        <w:rPr>
          <w:lang w:val="en-US"/>
        </w:rPr>
        <w:t>Interview with NPC.</w:t>
      </w:r>
      <w:r w:rsidR="002332E9">
        <w:rPr>
          <w:lang w:val="en-US"/>
        </w:rPr>
        <w:t xml:space="preserve"> 30</w:t>
      </w:r>
      <w:r w:rsidR="002332E9" w:rsidRPr="002332E9">
        <w:rPr>
          <w:vertAlign w:val="superscript"/>
          <w:lang w:val="en-US"/>
        </w:rPr>
        <w:t>th</w:t>
      </w:r>
      <w:r w:rsidR="002332E9">
        <w:rPr>
          <w:lang w:val="en-US"/>
        </w:rPr>
        <w:t xml:space="preserve"> March 2022.</w:t>
      </w:r>
    </w:p>
  </w:footnote>
  <w:footnote w:id="58">
    <w:p w14:paraId="7B23AD2A" w14:textId="7288BE7C" w:rsidR="00F210BA" w:rsidRPr="00F210BA" w:rsidRDefault="00F210BA">
      <w:pPr>
        <w:pStyle w:val="FootnoteText"/>
        <w:rPr>
          <w:lang w:val="en-US"/>
        </w:rPr>
      </w:pPr>
      <w:r>
        <w:rPr>
          <w:rStyle w:val="FootnoteReference"/>
        </w:rPr>
        <w:footnoteRef/>
      </w:r>
      <w:r>
        <w:t xml:space="preserve"> </w:t>
      </w:r>
      <w:hyperlink r:id="rId54" w:history="1">
        <w:r w:rsidRPr="00AF3115">
          <w:rPr>
            <w:rStyle w:val="Hyperlink"/>
            <w:lang w:val="en-US"/>
          </w:rPr>
          <w:t>Surviving but not living</w:t>
        </w:r>
      </w:hyperlink>
      <w:r>
        <w:rPr>
          <w:lang w:val="en-US"/>
        </w:rPr>
        <w:t xml:space="preserve">. Resident Voice Index. </w:t>
      </w:r>
      <w:r w:rsidR="00AF3115">
        <w:rPr>
          <w:lang w:val="en-US"/>
        </w:rPr>
        <w:t>June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67478737" w14:paraId="6B960180" w14:textId="77777777" w:rsidTr="4091DAC8">
      <w:tc>
        <w:tcPr>
          <w:tcW w:w="3210" w:type="dxa"/>
        </w:tcPr>
        <w:p w14:paraId="1CD05D94" w14:textId="6EA8C233" w:rsidR="67478737" w:rsidRDefault="67478737" w:rsidP="4091DAC8">
          <w:pPr>
            <w:pStyle w:val="Header"/>
            <w:ind w:left="-115"/>
            <w:jc w:val="left"/>
          </w:pPr>
        </w:p>
      </w:tc>
      <w:tc>
        <w:tcPr>
          <w:tcW w:w="3210" w:type="dxa"/>
        </w:tcPr>
        <w:p w14:paraId="3643D694" w14:textId="25357205" w:rsidR="67478737" w:rsidRDefault="67478737" w:rsidP="4091DAC8">
          <w:pPr>
            <w:pStyle w:val="Header"/>
            <w:jc w:val="center"/>
          </w:pPr>
        </w:p>
      </w:tc>
      <w:tc>
        <w:tcPr>
          <w:tcW w:w="3210" w:type="dxa"/>
        </w:tcPr>
        <w:p w14:paraId="1CA41334" w14:textId="1EF07D44" w:rsidR="67478737" w:rsidRDefault="67478737" w:rsidP="4091DAC8">
          <w:pPr>
            <w:pStyle w:val="Header"/>
            <w:ind w:right="-115"/>
          </w:pPr>
        </w:p>
      </w:tc>
    </w:tr>
  </w:tbl>
  <w:p w14:paraId="37C14FA4" w14:textId="268EFDD3" w:rsidR="00177B57" w:rsidRDefault="00177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C5834" w14:textId="77777777" w:rsidR="00D07B91" w:rsidRDefault="00D07B91">
    <w:pPr>
      <w:pStyle w:val="Header"/>
    </w:pPr>
    <w:r>
      <w:rPr>
        <w:noProof/>
      </w:rPr>
      <w:drawing>
        <wp:anchor distT="0" distB="0" distL="114300" distR="114300" simplePos="0" relativeHeight="251658240" behindDoc="0" locked="0" layoutInCell="1" allowOverlap="1" wp14:anchorId="6A96A420" wp14:editId="57DDD0FF">
          <wp:simplePos x="0" y="0"/>
          <wp:positionH relativeFrom="page">
            <wp:posOffset>5854065</wp:posOffset>
          </wp:positionH>
          <wp:positionV relativeFrom="page">
            <wp:posOffset>342265</wp:posOffset>
          </wp:positionV>
          <wp:extent cx="1327320" cy="668520"/>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327320" cy="668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09"/>
    <w:multiLevelType w:val="hybridMultilevel"/>
    <w:tmpl w:val="C16A96D4"/>
    <w:lvl w:ilvl="0" w:tplc="EA323F12">
      <w:start w:val="1"/>
      <w:numFmt w:val="bullet"/>
      <w:lvlText w:val="•"/>
      <w:lvlJc w:val="left"/>
      <w:pPr>
        <w:tabs>
          <w:tab w:val="num" w:pos="720"/>
        </w:tabs>
        <w:ind w:left="720" w:hanging="360"/>
      </w:pPr>
      <w:rPr>
        <w:rFonts w:ascii="Times New Roman" w:hAnsi="Times New Roman" w:hint="default"/>
      </w:rPr>
    </w:lvl>
    <w:lvl w:ilvl="1" w:tplc="2058308C" w:tentative="1">
      <w:start w:val="1"/>
      <w:numFmt w:val="bullet"/>
      <w:lvlText w:val="•"/>
      <w:lvlJc w:val="left"/>
      <w:pPr>
        <w:tabs>
          <w:tab w:val="num" w:pos="1440"/>
        </w:tabs>
        <w:ind w:left="1440" w:hanging="360"/>
      </w:pPr>
      <w:rPr>
        <w:rFonts w:ascii="Times New Roman" w:hAnsi="Times New Roman" w:hint="default"/>
      </w:rPr>
    </w:lvl>
    <w:lvl w:ilvl="2" w:tplc="D40EA7B8" w:tentative="1">
      <w:start w:val="1"/>
      <w:numFmt w:val="bullet"/>
      <w:lvlText w:val="•"/>
      <w:lvlJc w:val="left"/>
      <w:pPr>
        <w:tabs>
          <w:tab w:val="num" w:pos="2160"/>
        </w:tabs>
        <w:ind w:left="2160" w:hanging="360"/>
      </w:pPr>
      <w:rPr>
        <w:rFonts w:ascii="Times New Roman" w:hAnsi="Times New Roman" w:hint="default"/>
      </w:rPr>
    </w:lvl>
    <w:lvl w:ilvl="3" w:tplc="A9CA1A94" w:tentative="1">
      <w:start w:val="1"/>
      <w:numFmt w:val="bullet"/>
      <w:lvlText w:val="•"/>
      <w:lvlJc w:val="left"/>
      <w:pPr>
        <w:tabs>
          <w:tab w:val="num" w:pos="2880"/>
        </w:tabs>
        <w:ind w:left="2880" w:hanging="360"/>
      </w:pPr>
      <w:rPr>
        <w:rFonts w:ascii="Times New Roman" w:hAnsi="Times New Roman" w:hint="default"/>
      </w:rPr>
    </w:lvl>
    <w:lvl w:ilvl="4" w:tplc="FBEE8CA2" w:tentative="1">
      <w:start w:val="1"/>
      <w:numFmt w:val="bullet"/>
      <w:lvlText w:val="•"/>
      <w:lvlJc w:val="left"/>
      <w:pPr>
        <w:tabs>
          <w:tab w:val="num" w:pos="3600"/>
        </w:tabs>
        <w:ind w:left="3600" w:hanging="360"/>
      </w:pPr>
      <w:rPr>
        <w:rFonts w:ascii="Times New Roman" w:hAnsi="Times New Roman" w:hint="default"/>
      </w:rPr>
    </w:lvl>
    <w:lvl w:ilvl="5" w:tplc="B8DA0F62" w:tentative="1">
      <w:start w:val="1"/>
      <w:numFmt w:val="bullet"/>
      <w:lvlText w:val="•"/>
      <w:lvlJc w:val="left"/>
      <w:pPr>
        <w:tabs>
          <w:tab w:val="num" w:pos="4320"/>
        </w:tabs>
        <w:ind w:left="4320" w:hanging="360"/>
      </w:pPr>
      <w:rPr>
        <w:rFonts w:ascii="Times New Roman" w:hAnsi="Times New Roman" w:hint="default"/>
      </w:rPr>
    </w:lvl>
    <w:lvl w:ilvl="6" w:tplc="5F20EC5C" w:tentative="1">
      <w:start w:val="1"/>
      <w:numFmt w:val="bullet"/>
      <w:lvlText w:val="•"/>
      <w:lvlJc w:val="left"/>
      <w:pPr>
        <w:tabs>
          <w:tab w:val="num" w:pos="5040"/>
        </w:tabs>
        <w:ind w:left="5040" w:hanging="360"/>
      </w:pPr>
      <w:rPr>
        <w:rFonts w:ascii="Times New Roman" w:hAnsi="Times New Roman" w:hint="default"/>
      </w:rPr>
    </w:lvl>
    <w:lvl w:ilvl="7" w:tplc="1C729C4E" w:tentative="1">
      <w:start w:val="1"/>
      <w:numFmt w:val="bullet"/>
      <w:lvlText w:val="•"/>
      <w:lvlJc w:val="left"/>
      <w:pPr>
        <w:tabs>
          <w:tab w:val="num" w:pos="5760"/>
        </w:tabs>
        <w:ind w:left="5760" w:hanging="360"/>
      </w:pPr>
      <w:rPr>
        <w:rFonts w:ascii="Times New Roman" w:hAnsi="Times New Roman" w:hint="default"/>
      </w:rPr>
    </w:lvl>
    <w:lvl w:ilvl="8" w:tplc="0C3C9C4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DC2190"/>
    <w:multiLevelType w:val="hybridMultilevel"/>
    <w:tmpl w:val="2FBA6776"/>
    <w:lvl w:ilvl="0" w:tplc="0A9C5A72">
      <w:numFmt w:val="bullet"/>
      <w:lvlText w:val="-"/>
      <w:lvlJc w:val="left"/>
      <w:pPr>
        <w:ind w:left="530" w:hanging="360"/>
      </w:pPr>
      <w:rPr>
        <w:rFonts w:ascii="Arial" w:eastAsiaTheme="minorHAnsi" w:hAnsi="Arial" w:cs="Arial"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2" w15:restartNumberingAfterBreak="0">
    <w:nsid w:val="0D14799E"/>
    <w:multiLevelType w:val="hybridMultilevel"/>
    <w:tmpl w:val="E37478DA"/>
    <w:lvl w:ilvl="0" w:tplc="E230E156">
      <w:start w:val="1"/>
      <w:numFmt w:val="bullet"/>
      <w:lvlText w:val="•"/>
      <w:lvlJc w:val="left"/>
      <w:pPr>
        <w:tabs>
          <w:tab w:val="num" w:pos="0"/>
        </w:tabs>
        <w:ind w:left="0" w:hanging="360"/>
      </w:pPr>
      <w:rPr>
        <w:rFonts w:ascii="Times New Roman" w:hAnsi="Times New Roman" w:hint="default"/>
      </w:rPr>
    </w:lvl>
    <w:lvl w:ilvl="1" w:tplc="5C30FF7C" w:tentative="1">
      <w:start w:val="1"/>
      <w:numFmt w:val="bullet"/>
      <w:lvlText w:val="•"/>
      <w:lvlJc w:val="left"/>
      <w:pPr>
        <w:tabs>
          <w:tab w:val="num" w:pos="1080"/>
        </w:tabs>
        <w:ind w:left="1080" w:hanging="360"/>
      </w:pPr>
      <w:rPr>
        <w:rFonts w:ascii="Times New Roman" w:hAnsi="Times New Roman" w:hint="default"/>
      </w:rPr>
    </w:lvl>
    <w:lvl w:ilvl="2" w:tplc="FDD0A372" w:tentative="1">
      <w:start w:val="1"/>
      <w:numFmt w:val="bullet"/>
      <w:lvlText w:val="•"/>
      <w:lvlJc w:val="left"/>
      <w:pPr>
        <w:tabs>
          <w:tab w:val="num" w:pos="1800"/>
        </w:tabs>
        <w:ind w:left="1800" w:hanging="360"/>
      </w:pPr>
      <w:rPr>
        <w:rFonts w:ascii="Times New Roman" w:hAnsi="Times New Roman" w:hint="default"/>
      </w:rPr>
    </w:lvl>
    <w:lvl w:ilvl="3" w:tplc="EEF0ED30" w:tentative="1">
      <w:start w:val="1"/>
      <w:numFmt w:val="bullet"/>
      <w:lvlText w:val="•"/>
      <w:lvlJc w:val="left"/>
      <w:pPr>
        <w:tabs>
          <w:tab w:val="num" w:pos="2520"/>
        </w:tabs>
        <w:ind w:left="2520" w:hanging="360"/>
      </w:pPr>
      <w:rPr>
        <w:rFonts w:ascii="Times New Roman" w:hAnsi="Times New Roman" w:hint="default"/>
      </w:rPr>
    </w:lvl>
    <w:lvl w:ilvl="4" w:tplc="D3F4EE06" w:tentative="1">
      <w:start w:val="1"/>
      <w:numFmt w:val="bullet"/>
      <w:lvlText w:val="•"/>
      <w:lvlJc w:val="left"/>
      <w:pPr>
        <w:tabs>
          <w:tab w:val="num" w:pos="3240"/>
        </w:tabs>
        <w:ind w:left="3240" w:hanging="360"/>
      </w:pPr>
      <w:rPr>
        <w:rFonts w:ascii="Times New Roman" w:hAnsi="Times New Roman" w:hint="default"/>
      </w:rPr>
    </w:lvl>
    <w:lvl w:ilvl="5" w:tplc="F41EAAFE" w:tentative="1">
      <w:start w:val="1"/>
      <w:numFmt w:val="bullet"/>
      <w:lvlText w:val="•"/>
      <w:lvlJc w:val="left"/>
      <w:pPr>
        <w:tabs>
          <w:tab w:val="num" w:pos="3960"/>
        </w:tabs>
        <w:ind w:left="3960" w:hanging="360"/>
      </w:pPr>
      <w:rPr>
        <w:rFonts w:ascii="Times New Roman" w:hAnsi="Times New Roman" w:hint="default"/>
      </w:rPr>
    </w:lvl>
    <w:lvl w:ilvl="6" w:tplc="689E01FA" w:tentative="1">
      <w:start w:val="1"/>
      <w:numFmt w:val="bullet"/>
      <w:lvlText w:val="•"/>
      <w:lvlJc w:val="left"/>
      <w:pPr>
        <w:tabs>
          <w:tab w:val="num" w:pos="4680"/>
        </w:tabs>
        <w:ind w:left="4680" w:hanging="360"/>
      </w:pPr>
      <w:rPr>
        <w:rFonts w:ascii="Times New Roman" w:hAnsi="Times New Roman" w:hint="default"/>
      </w:rPr>
    </w:lvl>
    <w:lvl w:ilvl="7" w:tplc="3A58A696" w:tentative="1">
      <w:start w:val="1"/>
      <w:numFmt w:val="bullet"/>
      <w:lvlText w:val="•"/>
      <w:lvlJc w:val="left"/>
      <w:pPr>
        <w:tabs>
          <w:tab w:val="num" w:pos="5400"/>
        </w:tabs>
        <w:ind w:left="5400" w:hanging="360"/>
      </w:pPr>
      <w:rPr>
        <w:rFonts w:ascii="Times New Roman" w:hAnsi="Times New Roman" w:hint="default"/>
      </w:rPr>
    </w:lvl>
    <w:lvl w:ilvl="8" w:tplc="52C84A4A"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0E6A2D62"/>
    <w:multiLevelType w:val="multilevel"/>
    <w:tmpl w:val="368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7470B"/>
    <w:multiLevelType w:val="hybridMultilevel"/>
    <w:tmpl w:val="8D64B00C"/>
    <w:lvl w:ilvl="0" w:tplc="6D3E7472">
      <w:start w:val="1"/>
      <w:numFmt w:val="bullet"/>
      <w:lvlText w:val="•"/>
      <w:lvlJc w:val="left"/>
      <w:pPr>
        <w:tabs>
          <w:tab w:val="num" w:pos="720"/>
        </w:tabs>
        <w:ind w:left="720" w:hanging="360"/>
      </w:pPr>
      <w:rPr>
        <w:rFonts w:ascii="Times New Roman" w:hAnsi="Times New Roman" w:hint="default"/>
      </w:rPr>
    </w:lvl>
    <w:lvl w:ilvl="1" w:tplc="CBC021D6" w:tentative="1">
      <w:start w:val="1"/>
      <w:numFmt w:val="bullet"/>
      <w:lvlText w:val="•"/>
      <w:lvlJc w:val="left"/>
      <w:pPr>
        <w:tabs>
          <w:tab w:val="num" w:pos="1440"/>
        </w:tabs>
        <w:ind w:left="1440" w:hanging="360"/>
      </w:pPr>
      <w:rPr>
        <w:rFonts w:ascii="Times New Roman" w:hAnsi="Times New Roman" w:hint="default"/>
      </w:rPr>
    </w:lvl>
    <w:lvl w:ilvl="2" w:tplc="5D6C8D6E" w:tentative="1">
      <w:start w:val="1"/>
      <w:numFmt w:val="bullet"/>
      <w:lvlText w:val="•"/>
      <w:lvlJc w:val="left"/>
      <w:pPr>
        <w:tabs>
          <w:tab w:val="num" w:pos="2160"/>
        </w:tabs>
        <w:ind w:left="2160" w:hanging="360"/>
      </w:pPr>
      <w:rPr>
        <w:rFonts w:ascii="Times New Roman" w:hAnsi="Times New Roman" w:hint="default"/>
      </w:rPr>
    </w:lvl>
    <w:lvl w:ilvl="3" w:tplc="53F65C14" w:tentative="1">
      <w:start w:val="1"/>
      <w:numFmt w:val="bullet"/>
      <w:lvlText w:val="•"/>
      <w:lvlJc w:val="left"/>
      <w:pPr>
        <w:tabs>
          <w:tab w:val="num" w:pos="2880"/>
        </w:tabs>
        <w:ind w:left="2880" w:hanging="360"/>
      </w:pPr>
      <w:rPr>
        <w:rFonts w:ascii="Times New Roman" w:hAnsi="Times New Roman" w:hint="default"/>
      </w:rPr>
    </w:lvl>
    <w:lvl w:ilvl="4" w:tplc="CAFE0404" w:tentative="1">
      <w:start w:val="1"/>
      <w:numFmt w:val="bullet"/>
      <w:lvlText w:val="•"/>
      <w:lvlJc w:val="left"/>
      <w:pPr>
        <w:tabs>
          <w:tab w:val="num" w:pos="3600"/>
        </w:tabs>
        <w:ind w:left="3600" w:hanging="360"/>
      </w:pPr>
      <w:rPr>
        <w:rFonts w:ascii="Times New Roman" w:hAnsi="Times New Roman" w:hint="default"/>
      </w:rPr>
    </w:lvl>
    <w:lvl w:ilvl="5" w:tplc="82B6F10E" w:tentative="1">
      <w:start w:val="1"/>
      <w:numFmt w:val="bullet"/>
      <w:lvlText w:val="•"/>
      <w:lvlJc w:val="left"/>
      <w:pPr>
        <w:tabs>
          <w:tab w:val="num" w:pos="4320"/>
        </w:tabs>
        <w:ind w:left="4320" w:hanging="360"/>
      </w:pPr>
      <w:rPr>
        <w:rFonts w:ascii="Times New Roman" w:hAnsi="Times New Roman" w:hint="default"/>
      </w:rPr>
    </w:lvl>
    <w:lvl w:ilvl="6" w:tplc="4CD0466C" w:tentative="1">
      <w:start w:val="1"/>
      <w:numFmt w:val="bullet"/>
      <w:lvlText w:val="•"/>
      <w:lvlJc w:val="left"/>
      <w:pPr>
        <w:tabs>
          <w:tab w:val="num" w:pos="5040"/>
        </w:tabs>
        <w:ind w:left="5040" w:hanging="360"/>
      </w:pPr>
      <w:rPr>
        <w:rFonts w:ascii="Times New Roman" w:hAnsi="Times New Roman" w:hint="default"/>
      </w:rPr>
    </w:lvl>
    <w:lvl w:ilvl="7" w:tplc="FBD49DC4" w:tentative="1">
      <w:start w:val="1"/>
      <w:numFmt w:val="bullet"/>
      <w:lvlText w:val="•"/>
      <w:lvlJc w:val="left"/>
      <w:pPr>
        <w:tabs>
          <w:tab w:val="num" w:pos="5760"/>
        </w:tabs>
        <w:ind w:left="5760" w:hanging="360"/>
      </w:pPr>
      <w:rPr>
        <w:rFonts w:ascii="Times New Roman" w:hAnsi="Times New Roman" w:hint="default"/>
      </w:rPr>
    </w:lvl>
    <w:lvl w:ilvl="8" w:tplc="DBDE5B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2812A8"/>
    <w:multiLevelType w:val="hybridMultilevel"/>
    <w:tmpl w:val="5796AB72"/>
    <w:lvl w:ilvl="0" w:tplc="FFFFFFFF">
      <w:start w:val="1"/>
      <w:numFmt w:val="bullet"/>
      <w:pStyle w:val="NPCBulletPoint2"/>
      <w:lvlText w:val="−"/>
      <w:lvlJc w:val="left"/>
      <w:pPr>
        <w:ind w:left="720" w:hanging="360"/>
      </w:pPr>
      <w:rPr>
        <w:rFonts w:ascii="Verdana" w:hAnsi="Verdan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77A84"/>
    <w:multiLevelType w:val="hybridMultilevel"/>
    <w:tmpl w:val="D6A0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5B06"/>
    <w:multiLevelType w:val="hybridMultilevel"/>
    <w:tmpl w:val="5DFA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6D3B09"/>
    <w:multiLevelType w:val="multilevel"/>
    <w:tmpl w:val="368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5512483"/>
    <w:multiLevelType w:val="hybridMultilevel"/>
    <w:tmpl w:val="F460C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7416E"/>
    <w:multiLevelType w:val="hybridMultilevel"/>
    <w:tmpl w:val="BFFCA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C92EA5"/>
    <w:multiLevelType w:val="hybridMultilevel"/>
    <w:tmpl w:val="56F8F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4423CA"/>
    <w:multiLevelType w:val="multilevel"/>
    <w:tmpl w:val="FE882C88"/>
    <w:styleLink w:val="ListNumbers"/>
    <w:lvl w:ilvl="0">
      <w:start w:val="1"/>
      <w:numFmt w:val="decimal"/>
      <w:pStyle w:val="ListNumber"/>
      <w:lvlText w:val="%1."/>
      <w:lvlJc w:val="left"/>
      <w:pPr>
        <w:ind w:left="567" w:hanging="283"/>
      </w:pPr>
      <w:rPr>
        <w:rFonts w:hint="default"/>
      </w:rPr>
    </w:lvl>
    <w:lvl w:ilvl="1">
      <w:start w:val="1"/>
      <w:numFmt w:val="decimal"/>
      <w:lvlText w:val="%2."/>
      <w:lvlJc w:val="left"/>
      <w:pPr>
        <w:ind w:left="851" w:hanging="283"/>
      </w:pPr>
      <w:rPr>
        <w:rFonts w:hint="default"/>
      </w:rPr>
    </w:lvl>
    <w:lvl w:ilvl="2">
      <w:start w:val="1"/>
      <w:numFmt w:val="none"/>
      <w:lvlText w:val=""/>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13" w15:restartNumberingAfterBreak="0">
    <w:nsid w:val="4EED2A73"/>
    <w:multiLevelType w:val="hybridMultilevel"/>
    <w:tmpl w:val="8EEEE7F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54977F77"/>
    <w:multiLevelType w:val="hybridMultilevel"/>
    <w:tmpl w:val="9E42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4E613B"/>
    <w:multiLevelType w:val="hybridMultilevel"/>
    <w:tmpl w:val="3944653E"/>
    <w:lvl w:ilvl="0" w:tplc="4BC2A442">
      <w:start w:val="1"/>
      <w:numFmt w:val="bullet"/>
      <w:pStyle w:val="NPCBulletPoint1"/>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62064E"/>
    <w:multiLevelType w:val="hybridMultilevel"/>
    <w:tmpl w:val="337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EA6F3F"/>
    <w:multiLevelType w:val="multilevel"/>
    <w:tmpl w:val="FE882C88"/>
    <w:numStyleLink w:val="ListNumbers"/>
  </w:abstractNum>
  <w:abstractNum w:abstractNumId="18" w15:restartNumberingAfterBreak="0">
    <w:nsid w:val="60990B4D"/>
    <w:multiLevelType w:val="hybridMultilevel"/>
    <w:tmpl w:val="720C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40E5C"/>
    <w:multiLevelType w:val="hybridMultilevel"/>
    <w:tmpl w:val="CD828D3E"/>
    <w:lvl w:ilvl="0" w:tplc="08090001">
      <w:start w:val="1"/>
      <w:numFmt w:val="bullet"/>
      <w:lvlText w:val=""/>
      <w:lvlJc w:val="left"/>
      <w:pPr>
        <w:ind w:left="530" w:hanging="360"/>
      </w:pPr>
      <w:rPr>
        <w:rFonts w:ascii="Symbol" w:hAnsi="Symbol" w:hint="default"/>
      </w:rPr>
    </w:lvl>
    <w:lvl w:ilvl="1" w:tplc="FFFFFFFF" w:tentative="1">
      <w:start w:val="1"/>
      <w:numFmt w:val="bullet"/>
      <w:lvlText w:val="o"/>
      <w:lvlJc w:val="left"/>
      <w:pPr>
        <w:ind w:left="1250" w:hanging="360"/>
      </w:pPr>
      <w:rPr>
        <w:rFonts w:ascii="Courier New" w:hAnsi="Courier New" w:cs="Courier New" w:hint="default"/>
      </w:rPr>
    </w:lvl>
    <w:lvl w:ilvl="2" w:tplc="FFFFFFFF" w:tentative="1">
      <w:start w:val="1"/>
      <w:numFmt w:val="bullet"/>
      <w:lvlText w:val=""/>
      <w:lvlJc w:val="left"/>
      <w:pPr>
        <w:ind w:left="1970" w:hanging="360"/>
      </w:pPr>
      <w:rPr>
        <w:rFonts w:ascii="Wingdings" w:hAnsi="Wingdings" w:hint="default"/>
      </w:rPr>
    </w:lvl>
    <w:lvl w:ilvl="3" w:tplc="FFFFFFFF" w:tentative="1">
      <w:start w:val="1"/>
      <w:numFmt w:val="bullet"/>
      <w:lvlText w:val=""/>
      <w:lvlJc w:val="left"/>
      <w:pPr>
        <w:ind w:left="2690" w:hanging="360"/>
      </w:pPr>
      <w:rPr>
        <w:rFonts w:ascii="Symbol" w:hAnsi="Symbol" w:hint="default"/>
      </w:rPr>
    </w:lvl>
    <w:lvl w:ilvl="4" w:tplc="FFFFFFFF" w:tentative="1">
      <w:start w:val="1"/>
      <w:numFmt w:val="bullet"/>
      <w:lvlText w:val="o"/>
      <w:lvlJc w:val="left"/>
      <w:pPr>
        <w:ind w:left="3410" w:hanging="360"/>
      </w:pPr>
      <w:rPr>
        <w:rFonts w:ascii="Courier New" w:hAnsi="Courier New" w:cs="Courier New" w:hint="default"/>
      </w:rPr>
    </w:lvl>
    <w:lvl w:ilvl="5" w:tplc="FFFFFFFF" w:tentative="1">
      <w:start w:val="1"/>
      <w:numFmt w:val="bullet"/>
      <w:lvlText w:val=""/>
      <w:lvlJc w:val="left"/>
      <w:pPr>
        <w:ind w:left="4130" w:hanging="360"/>
      </w:pPr>
      <w:rPr>
        <w:rFonts w:ascii="Wingdings" w:hAnsi="Wingdings" w:hint="default"/>
      </w:rPr>
    </w:lvl>
    <w:lvl w:ilvl="6" w:tplc="FFFFFFFF" w:tentative="1">
      <w:start w:val="1"/>
      <w:numFmt w:val="bullet"/>
      <w:lvlText w:val=""/>
      <w:lvlJc w:val="left"/>
      <w:pPr>
        <w:ind w:left="4850" w:hanging="360"/>
      </w:pPr>
      <w:rPr>
        <w:rFonts w:ascii="Symbol" w:hAnsi="Symbol" w:hint="default"/>
      </w:rPr>
    </w:lvl>
    <w:lvl w:ilvl="7" w:tplc="FFFFFFFF" w:tentative="1">
      <w:start w:val="1"/>
      <w:numFmt w:val="bullet"/>
      <w:lvlText w:val="o"/>
      <w:lvlJc w:val="left"/>
      <w:pPr>
        <w:ind w:left="5570" w:hanging="360"/>
      </w:pPr>
      <w:rPr>
        <w:rFonts w:ascii="Courier New" w:hAnsi="Courier New" w:cs="Courier New" w:hint="default"/>
      </w:rPr>
    </w:lvl>
    <w:lvl w:ilvl="8" w:tplc="FFFFFFFF" w:tentative="1">
      <w:start w:val="1"/>
      <w:numFmt w:val="bullet"/>
      <w:lvlText w:val=""/>
      <w:lvlJc w:val="left"/>
      <w:pPr>
        <w:ind w:left="6290" w:hanging="360"/>
      </w:pPr>
      <w:rPr>
        <w:rFonts w:ascii="Wingdings" w:hAnsi="Wingdings" w:hint="default"/>
      </w:rPr>
    </w:lvl>
  </w:abstractNum>
  <w:abstractNum w:abstractNumId="20" w15:restartNumberingAfterBreak="0">
    <w:nsid w:val="6DD30445"/>
    <w:multiLevelType w:val="hybridMultilevel"/>
    <w:tmpl w:val="15863386"/>
    <w:lvl w:ilvl="0" w:tplc="F34A1406">
      <w:start w:val="1"/>
      <w:numFmt w:val="bullet"/>
      <w:lvlText w:val="•"/>
      <w:lvlJc w:val="left"/>
      <w:pPr>
        <w:tabs>
          <w:tab w:val="num" w:pos="720"/>
        </w:tabs>
        <w:ind w:left="720" w:hanging="360"/>
      </w:pPr>
      <w:rPr>
        <w:rFonts w:ascii="Times New Roman" w:hAnsi="Times New Roman" w:hint="default"/>
      </w:rPr>
    </w:lvl>
    <w:lvl w:ilvl="1" w:tplc="951AACBA" w:tentative="1">
      <w:start w:val="1"/>
      <w:numFmt w:val="bullet"/>
      <w:lvlText w:val="•"/>
      <w:lvlJc w:val="left"/>
      <w:pPr>
        <w:tabs>
          <w:tab w:val="num" w:pos="1440"/>
        </w:tabs>
        <w:ind w:left="1440" w:hanging="360"/>
      </w:pPr>
      <w:rPr>
        <w:rFonts w:ascii="Times New Roman" w:hAnsi="Times New Roman" w:hint="default"/>
      </w:rPr>
    </w:lvl>
    <w:lvl w:ilvl="2" w:tplc="E8BC076C" w:tentative="1">
      <w:start w:val="1"/>
      <w:numFmt w:val="bullet"/>
      <w:lvlText w:val="•"/>
      <w:lvlJc w:val="left"/>
      <w:pPr>
        <w:tabs>
          <w:tab w:val="num" w:pos="2160"/>
        </w:tabs>
        <w:ind w:left="2160" w:hanging="360"/>
      </w:pPr>
      <w:rPr>
        <w:rFonts w:ascii="Times New Roman" w:hAnsi="Times New Roman" w:hint="default"/>
      </w:rPr>
    </w:lvl>
    <w:lvl w:ilvl="3" w:tplc="05B2E056" w:tentative="1">
      <w:start w:val="1"/>
      <w:numFmt w:val="bullet"/>
      <w:lvlText w:val="•"/>
      <w:lvlJc w:val="left"/>
      <w:pPr>
        <w:tabs>
          <w:tab w:val="num" w:pos="2880"/>
        </w:tabs>
        <w:ind w:left="2880" w:hanging="360"/>
      </w:pPr>
      <w:rPr>
        <w:rFonts w:ascii="Times New Roman" w:hAnsi="Times New Roman" w:hint="default"/>
      </w:rPr>
    </w:lvl>
    <w:lvl w:ilvl="4" w:tplc="FEBE631C" w:tentative="1">
      <w:start w:val="1"/>
      <w:numFmt w:val="bullet"/>
      <w:lvlText w:val="•"/>
      <w:lvlJc w:val="left"/>
      <w:pPr>
        <w:tabs>
          <w:tab w:val="num" w:pos="3600"/>
        </w:tabs>
        <w:ind w:left="3600" w:hanging="360"/>
      </w:pPr>
      <w:rPr>
        <w:rFonts w:ascii="Times New Roman" w:hAnsi="Times New Roman" w:hint="default"/>
      </w:rPr>
    </w:lvl>
    <w:lvl w:ilvl="5" w:tplc="8DF44C88" w:tentative="1">
      <w:start w:val="1"/>
      <w:numFmt w:val="bullet"/>
      <w:lvlText w:val="•"/>
      <w:lvlJc w:val="left"/>
      <w:pPr>
        <w:tabs>
          <w:tab w:val="num" w:pos="4320"/>
        </w:tabs>
        <w:ind w:left="4320" w:hanging="360"/>
      </w:pPr>
      <w:rPr>
        <w:rFonts w:ascii="Times New Roman" w:hAnsi="Times New Roman" w:hint="default"/>
      </w:rPr>
    </w:lvl>
    <w:lvl w:ilvl="6" w:tplc="5EBA8522" w:tentative="1">
      <w:start w:val="1"/>
      <w:numFmt w:val="bullet"/>
      <w:lvlText w:val="•"/>
      <w:lvlJc w:val="left"/>
      <w:pPr>
        <w:tabs>
          <w:tab w:val="num" w:pos="5040"/>
        </w:tabs>
        <w:ind w:left="5040" w:hanging="360"/>
      </w:pPr>
      <w:rPr>
        <w:rFonts w:ascii="Times New Roman" w:hAnsi="Times New Roman" w:hint="default"/>
      </w:rPr>
    </w:lvl>
    <w:lvl w:ilvl="7" w:tplc="EC7CE4D0" w:tentative="1">
      <w:start w:val="1"/>
      <w:numFmt w:val="bullet"/>
      <w:lvlText w:val="•"/>
      <w:lvlJc w:val="left"/>
      <w:pPr>
        <w:tabs>
          <w:tab w:val="num" w:pos="5760"/>
        </w:tabs>
        <w:ind w:left="5760" w:hanging="360"/>
      </w:pPr>
      <w:rPr>
        <w:rFonts w:ascii="Times New Roman" w:hAnsi="Times New Roman" w:hint="default"/>
      </w:rPr>
    </w:lvl>
    <w:lvl w:ilvl="8" w:tplc="911A266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E2E1ACB"/>
    <w:multiLevelType w:val="hybridMultilevel"/>
    <w:tmpl w:val="12E0A256"/>
    <w:lvl w:ilvl="0" w:tplc="6A8AB352">
      <w:start w:val="1"/>
      <w:numFmt w:val="bullet"/>
      <w:lvlText w:val="•"/>
      <w:lvlJc w:val="left"/>
      <w:pPr>
        <w:tabs>
          <w:tab w:val="num" w:pos="720"/>
        </w:tabs>
        <w:ind w:left="720" w:hanging="360"/>
      </w:pPr>
      <w:rPr>
        <w:rFonts w:ascii="Times New Roman" w:hAnsi="Times New Roman" w:hint="default"/>
      </w:rPr>
    </w:lvl>
    <w:lvl w:ilvl="1" w:tplc="030896FA" w:tentative="1">
      <w:start w:val="1"/>
      <w:numFmt w:val="bullet"/>
      <w:lvlText w:val="•"/>
      <w:lvlJc w:val="left"/>
      <w:pPr>
        <w:tabs>
          <w:tab w:val="num" w:pos="1440"/>
        </w:tabs>
        <w:ind w:left="1440" w:hanging="360"/>
      </w:pPr>
      <w:rPr>
        <w:rFonts w:ascii="Times New Roman" w:hAnsi="Times New Roman" w:hint="default"/>
      </w:rPr>
    </w:lvl>
    <w:lvl w:ilvl="2" w:tplc="79FAF12E" w:tentative="1">
      <w:start w:val="1"/>
      <w:numFmt w:val="bullet"/>
      <w:lvlText w:val="•"/>
      <w:lvlJc w:val="left"/>
      <w:pPr>
        <w:tabs>
          <w:tab w:val="num" w:pos="2160"/>
        </w:tabs>
        <w:ind w:left="2160" w:hanging="360"/>
      </w:pPr>
      <w:rPr>
        <w:rFonts w:ascii="Times New Roman" w:hAnsi="Times New Roman" w:hint="default"/>
      </w:rPr>
    </w:lvl>
    <w:lvl w:ilvl="3" w:tplc="09DC945E" w:tentative="1">
      <w:start w:val="1"/>
      <w:numFmt w:val="bullet"/>
      <w:lvlText w:val="•"/>
      <w:lvlJc w:val="left"/>
      <w:pPr>
        <w:tabs>
          <w:tab w:val="num" w:pos="2880"/>
        </w:tabs>
        <w:ind w:left="2880" w:hanging="360"/>
      </w:pPr>
      <w:rPr>
        <w:rFonts w:ascii="Times New Roman" w:hAnsi="Times New Roman" w:hint="default"/>
      </w:rPr>
    </w:lvl>
    <w:lvl w:ilvl="4" w:tplc="830C0B2E" w:tentative="1">
      <w:start w:val="1"/>
      <w:numFmt w:val="bullet"/>
      <w:lvlText w:val="•"/>
      <w:lvlJc w:val="left"/>
      <w:pPr>
        <w:tabs>
          <w:tab w:val="num" w:pos="3600"/>
        </w:tabs>
        <w:ind w:left="3600" w:hanging="360"/>
      </w:pPr>
      <w:rPr>
        <w:rFonts w:ascii="Times New Roman" w:hAnsi="Times New Roman" w:hint="default"/>
      </w:rPr>
    </w:lvl>
    <w:lvl w:ilvl="5" w:tplc="5F329468" w:tentative="1">
      <w:start w:val="1"/>
      <w:numFmt w:val="bullet"/>
      <w:lvlText w:val="•"/>
      <w:lvlJc w:val="left"/>
      <w:pPr>
        <w:tabs>
          <w:tab w:val="num" w:pos="4320"/>
        </w:tabs>
        <w:ind w:left="4320" w:hanging="360"/>
      </w:pPr>
      <w:rPr>
        <w:rFonts w:ascii="Times New Roman" w:hAnsi="Times New Roman" w:hint="default"/>
      </w:rPr>
    </w:lvl>
    <w:lvl w:ilvl="6" w:tplc="F5C409BE" w:tentative="1">
      <w:start w:val="1"/>
      <w:numFmt w:val="bullet"/>
      <w:lvlText w:val="•"/>
      <w:lvlJc w:val="left"/>
      <w:pPr>
        <w:tabs>
          <w:tab w:val="num" w:pos="5040"/>
        </w:tabs>
        <w:ind w:left="5040" w:hanging="360"/>
      </w:pPr>
      <w:rPr>
        <w:rFonts w:ascii="Times New Roman" w:hAnsi="Times New Roman" w:hint="default"/>
      </w:rPr>
    </w:lvl>
    <w:lvl w:ilvl="7" w:tplc="15944288" w:tentative="1">
      <w:start w:val="1"/>
      <w:numFmt w:val="bullet"/>
      <w:lvlText w:val="•"/>
      <w:lvlJc w:val="left"/>
      <w:pPr>
        <w:tabs>
          <w:tab w:val="num" w:pos="5760"/>
        </w:tabs>
        <w:ind w:left="5760" w:hanging="360"/>
      </w:pPr>
      <w:rPr>
        <w:rFonts w:ascii="Times New Roman" w:hAnsi="Times New Roman" w:hint="default"/>
      </w:rPr>
    </w:lvl>
    <w:lvl w:ilvl="8" w:tplc="A5BCB3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F2C3D2E"/>
    <w:multiLevelType w:val="multilevel"/>
    <w:tmpl w:val="368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994E63"/>
    <w:multiLevelType w:val="multilevel"/>
    <w:tmpl w:val="4CBC2320"/>
    <w:styleLink w:val="ListBullets"/>
    <w:lvl w:ilvl="0">
      <w:start w:val="1"/>
      <w:numFmt w:val="bullet"/>
      <w:pStyle w:val="ListBullet"/>
      <w:lvlText w:val=""/>
      <w:lvlJc w:val="left"/>
      <w:pPr>
        <w:ind w:left="567" w:hanging="283"/>
      </w:pPr>
      <w:rPr>
        <w:rFonts w:ascii="Symbol" w:hAnsi="Symbol" w:hint="default"/>
      </w:rPr>
    </w:lvl>
    <w:lvl w:ilvl="1">
      <w:start w:val="1"/>
      <w:numFmt w:val="bullet"/>
      <w:lvlText w:val=""/>
      <w:lvlJc w:val="left"/>
      <w:pPr>
        <w:ind w:left="851" w:hanging="283"/>
      </w:pPr>
      <w:rPr>
        <w:rFonts w:ascii="Symbol" w:hAnsi="Symbol" w:hint="default"/>
      </w:rPr>
    </w:lvl>
    <w:lvl w:ilvl="2">
      <w:start w:val="1"/>
      <w:numFmt w:val="none"/>
      <w:lvlText w:val="%3"/>
      <w:lvlJc w:val="left"/>
      <w:pPr>
        <w:ind w:left="1135" w:hanging="283"/>
      </w:pPr>
      <w:rPr>
        <w:rFonts w:hint="default"/>
      </w:rPr>
    </w:lvl>
    <w:lvl w:ilvl="3">
      <w:start w:val="1"/>
      <w:numFmt w:val="none"/>
      <w:lvlText w:val=""/>
      <w:lvlJc w:val="left"/>
      <w:pPr>
        <w:ind w:left="1419" w:hanging="283"/>
      </w:pPr>
      <w:rPr>
        <w:rFonts w:hint="default"/>
      </w:rPr>
    </w:lvl>
    <w:lvl w:ilvl="4">
      <w:start w:val="1"/>
      <w:numFmt w:val="none"/>
      <w:lvlText w:val=""/>
      <w:lvlJc w:val="left"/>
      <w:pPr>
        <w:ind w:left="1703" w:hanging="283"/>
      </w:pPr>
      <w:rPr>
        <w:rFonts w:hint="default"/>
      </w:rPr>
    </w:lvl>
    <w:lvl w:ilvl="5">
      <w:start w:val="1"/>
      <w:numFmt w:val="none"/>
      <w:lvlText w:val=""/>
      <w:lvlJc w:val="left"/>
      <w:pPr>
        <w:ind w:left="1987" w:hanging="283"/>
      </w:pPr>
      <w:rPr>
        <w:rFonts w:hint="default"/>
      </w:rPr>
    </w:lvl>
    <w:lvl w:ilvl="6">
      <w:start w:val="1"/>
      <w:numFmt w:val="none"/>
      <w:lvlText w:val=""/>
      <w:lvlJc w:val="left"/>
      <w:pPr>
        <w:ind w:left="2271" w:hanging="283"/>
      </w:pPr>
      <w:rPr>
        <w:rFonts w:hint="default"/>
      </w:rPr>
    </w:lvl>
    <w:lvl w:ilvl="7">
      <w:start w:val="1"/>
      <w:numFmt w:val="none"/>
      <w:lvlText w:val=""/>
      <w:lvlJc w:val="left"/>
      <w:pPr>
        <w:ind w:left="2555" w:hanging="283"/>
      </w:pPr>
      <w:rPr>
        <w:rFonts w:hint="default"/>
      </w:rPr>
    </w:lvl>
    <w:lvl w:ilvl="8">
      <w:start w:val="1"/>
      <w:numFmt w:val="none"/>
      <w:lvlText w:val=""/>
      <w:lvlJc w:val="left"/>
      <w:pPr>
        <w:ind w:left="2839" w:hanging="283"/>
      </w:pPr>
      <w:rPr>
        <w:rFonts w:hint="default"/>
      </w:rPr>
    </w:lvl>
  </w:abstractNum>
  <w:abstractNum w:abstractNumId="24" w15:restartNumberingAfterBreak="0">
    <w:nsid w:val="719C412D"/>
    <w:multiLevelType w:val="multilevel"/>
    <w:tmpl w:val="368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8235864">
    <w:abstractNumId w:val="23"/>
  </w:num>
  <w:num w:numId="2" w16cid:durableId="993605536">
    <w:abstractNumId w:val="12"/>
  </w:num>
  <w:num w:numId="3" w16cid:durableId="142816367">
    <w:abstractNumId w:val="17"/>
  </w:num>
  <w:num w:numId="4" w16cid:durableId="1741751565">
    <w:abstractNumId w:val="15"/>
  </w:num>
  <w:num w:numId="5" w16cid:durableId="1919095659">
    <w:abstractNumId w:val="5"/>
  </w:num>
  <w:num w:numId="6" w16cid:durableId="1327516889">
    <w:abstractNumId w:val="16"/>
  </w:num>
  <w:num w:numId="7" w16cid:durableId="1104688043">
    <w:abstractNumId w:val="14"/>
  </w:num>
  <w:num w:numId="8" w16cid:durableId="883717587">
    <w:abstractNumId w:val="18"/>
  </w:num>
  <w:num w:numId="9" w16cid:durableId="294916668">
    <w:abstractNumId w:val="7"/>
  </w:num>
  <w:num w:numId="10" w16cid:durableId="1641038663">
    <w:abstractNumId w:val="6"/>
  </w:num>
  <w:num w:numId="11" w16cid:durableId="1847942384">
    <w:abstractNumId w:val="10"/>
  </w:num>
  <w:num w:numId="12" w16cid:durableId="1674800903">
    <w:abstractNumId w:val="9"/>
  </w:num>
  <w:num w:numId="13" w16cid:durableId="894664329">
    <w:abstractNumId w:val="8"/>
  </w:num>
  <w:num w:numId="14" w16cid:durableId="66415869">
    <w:abstractNumId w:val="24"/>
  </w:num>
  <w:num w:numId="15" w16cid:durableId="58870428">
    <w:abstractNumId w:val="3"/>
  </w:num>
  <w:num w:numId="16" w16cid:durableId="983319609">
    <w:abstractNumId w:val="22"/>
  </w:num>
  <w:num w:numId="17" w16cid:durableId="249626965">
    <w:abstractNumId w:val="13"/>
  </w:num>
  <w:num w:numId="18" w16cid:durableId="1051539909">
    <w:abstractNumId w:val="1"/>
  </w:num>
  <w:num w:numId="19" w16cid:durableId="535897873">
    <w:abstractNumId w:val="19"/>
  </w:num>
  <w:num w:numId="20" w16cid:durableId="258803015">
    <w:abstractNumId w:val="2"/>
  </w:num>
  <w:num w:numId="21" w16cid:durableId="649943862">
    <w:abstractNumId w:val="20"/>
  </w:num>
  <w:num w:numId="22" w16cid:durableId="740375354">
    <w:abstractNumId w:val="0"/>
  </w:num>
  <w:num w:numId="23" w16cid:durableId="227113351">
    <w:abstractNumId w:val="4"/>
  </w:num>
  <w:num w:numId="24" w16cid:durableId="20790453">
    <w:abstractNumId w:val="21"/>
  </w:num>
  <w:num w:numId="25" w16cid:durableId="68579440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28"/>
    <w:rsid w:val="00000A8F"/>
    <w:rsid w:val="00010799"/>
    <w:rsid w:val="00012074"/>
    <w:rsid w:val="00020223"/>
    <w:rsid w:val="00024BC0"/>
    <w:rsid w:val="00034098"/>
    <w:rsid w:val="0003586D"/>
    <w:rsid w:val="000442AB"/>
    <w:rsid w:val="0004519D"/>
    <w:rsid w:val="00045631"/>
    <w:rsid w:val="000613F3"/>
    <w:rsid w:val="000659AE"/>
    <w:rsid w:val="00075F25"/>
    <w:rsid w:val="00077BC8"/>
    <w:rsid w:val="00077DA2"/>
    <w:rsid w:val="0008080B"/>
    <w:rsid w:val="000824A1"/>
    <w:rsid w:val="000832FF"/>
    <w:rsid w:val="0008375F"/>
    <w:rsid w:val="000841F2"/>
    <w:rsid w:val="000875DE"/>
    <w:rsid w:val="00090EE3"/>
    <w:rsid w:val="000947A3"/>
    <w:rsid w:val="00096D4A"/>
    <w:rsid w:val="00097C11"/>
    <w:rsid w:val="000A077C"/>
    <w:rsid w:val="000A7FB4"/>
    <w:rsid w:val="000B146D"/>
    <w:rsid w:val="000B508F"/>
    <w:rsid w:val="000B747C"/>
    <w:rsid w:val="000C5889"/>
    <w:rsid w:val="000D17DF"/>
    <w:rsid w:val="000D4246"/>
    <w:rsid w:val="000D7B5B"/>
    <w:rsid w:val="000E3416"/>
    <w:rsid w:val="000F12AB"/>
    <w:rsid w:val="000F15B7"/>
    <w:rsid w:val="000F1C2A"/>
    <w:rsid w:val="000F287A"/>
    <w:rsid w:val="00103EE4"/>
    <w:rsid w:val="0011457B"/>
    <w:rsid w:val="0011798F"/>
    <w:rsid w:val="00120C93"/>
    <w:rsid w:val="00125418"/>
    <w:rsid w:val="0012693F"/>
    <w:rsid w:val="00141B51"/>
    <w:rsid w:val="0014379A"/>
    <w:rsid w:val="00144090"/>
    <w:rsid w:val="00165A73"/>
    <w:rsid w:val="0016627A"/>
    <w:rsid w:val="00170AEA"/>
    <w:rsid w:val="00175970"/>
    <w:rsid w:val="00177B57"/>
    <w:rsid w:val="0018136A"/>
    <w:rsid w:val="001816E8"/>
    <w:rsid w:val="00192227"/>
    <w:rsid w:val="001A3218"/>
    <w:rsid w:val="001A759B"/>
    <w:rsid w:val="001A7EF2"/>
    <w:rsid w:val="001B64C0"/>
    <w:rsid w:val="001D2D1E"/>
    <w:rsid w:val="001D6025"/>
    <w:rsid w:val="001D7143"/>
    <w:rsid w:val="001E3040"/>
    <w:rsid w:val="0020544C"/>
    <w:rsid w:val="0021573D"/>
    <w:rsid w:val="00230081"/>
    <w:rsid w:val="00233167"/>
    <w:rsid w:val="002332E9"/>
    <w:rsid w:val="00237D71"/>
    <w:rsid w:val="00266666"/>
    <w:rsid w:val="002903CE"/>
    <w:rsid w:val="00295EEF"/>
    <w:rsid w:val="002A6C87"/>
    <w:rsid w:val="002A74F0"/>
    <w:rsid w:val="002B4C99"/>
    <w:rsid w:val="002C2306"/>
    <w:rsid w:val="002D6150"/>
    <w:rsid w:val="002D7068"/>
    <w:rsid w:val="002F1973"/>
    <w:rsid w:val="002F283E"/>
    <w:rsid w:val="002F6EB2"/>
    <w:rsid w:val="00303B21"/>
    <w:rsid w:val="00304F88"/>
    <w:rsid w:val="00312467"/>
    <w:rsid w:val="00317BAC"/>
    <w:rsid w:val="003362B0"/>
    <w:rsid w:val="00336A50"/>
    <w:rsid w:val="00342410"/>
    <w:rsid w:val="00357C4B"/>
    <w:rsid w:val="00364E37"/>
    <w:rsid w:val="0037509C"/>
    <w:rsid w:val="0038083F"/>
    <w:rsid w:val="0038151F"/>
    <w:rsid w:val="00392F24"/>
    <w:rsid w:val="00394114"/>
    <w:rsid w:val="0039420E"/>
    <w:rsid w:val="003A683F"/>
    <w:rsid w:val="003C6CCC"/>
    <w:rsid w:val="003D2532"/>
    <w:rsid w:val="003D3305"/>
    <w:rsid w:val="003D4199"/>
    <w:rsid w:val="003D5A62"/>
    <w:rsid w:val="003D60C9"/>
    <w:rsid w:val="003E0563"/>
    <w:rsid w:val="003E63B5"/>
    <w:rsid w:val="003E69B1"/>
    <w:rsid w:val="003F0B8C"/>
    <w:rsid w:val="003F1E63"/>
    <w:rsid w:val="003F36F2"/>
    <w:rsid w:val="00402976"/>
    <w:rsid w:val="00433138"/>
    <w:rsid w:val="00435E1E"/>
    <w:rsid w:val="00442FE0"/>
    <w:rsid w:val="00447E96"/>
    <w:rsid w:val="00453B86"/>
    <w:rsid w:val="004546B2"/>
    <w:rsid w:val="00454CBB"/>
    <w:rsid w:val="00455077"/>
    <w:rsid w:val="004665BD"/>
    <w:rsid w:val="0048093F"/>
    <w:rsid w:val="004970C7"/>
    <w:rsid w:val="004A1707"/>
    <w:rsid w:val="004B392F"/>
    <w:rsid w:val="004B3D42"/>
    <w:rsid w:val="004B4CF0"/>
    <w:rsid w:val="004B69B6"/>
    <w:rsid w:val="004B7D5F"/>
    <w:rsid w:val="004C3226"/>
    <w:rsid w:val="004D244D"/>
    <w:rsid w:val="004F0F8F"/>
    <w:rsid w:val="004F2EAE"/>
    <w:rsid w:val="004F7D8D"/>
    <w:rsid w:val="00506CA4"/>
    <w:rsid w:val="00522E8A"/>
    <w:rsid w:val="00526088"/>
    <w:rsid w:val="0053441D"/>
    <w:rsid w:val="00535B3E"/>
    <w:rsid w:val="005445C6"/>
    <w:rsid w:val="00544D81"/>
    <w:rsid w:val="00546267"/>
    <w:rsid w:val="0054784D"/>
    <w:rsid w:val="00566135"/>
    <w:rsid w:val="00575D11"/>
    <w:rsid w:val="005775C7"/>
    <w:rsid w:val="00581C0F"/>
    <w:rsid w:val="00584116"/>
    <w:rsid w:val="00590FE6"/>
    <w:rsid w:val="005A5812"/>
    <w:rsid w:val="005B74BD"/>
    <w:rsid w:val="005C1953"/>
    <w:rsid w:val="005C2203"/>
    <w:rsid w:val="005D13C9"/>
    <w:rsid w:val="005D1B17"/>
    <w:rsid w:val="005E62E7"/>
    <w:rsid w:val="00602503"/>
    <w:rsid w:val="00605082"/>
    <w:rsid w:val="00612118"/>
    <w:rsid w:val="0061331C"/>
    <w:rsid w:val="00616E79"/>
    <w:rsid w:val="0061A9DE"/>
    <w:rsid w:val="006259D6"/>
    <w:rsid w:val="006339AE"/>
    <w:rsid w:val="00634D4A"/>
    <w:rsid w:val="00637D86"/>
    <w:rsid w:val="00652781"/>
    <w:rsid w:val="00653502"/>
    <w:rsid w:val="0067270D"/>
    <w:rsid w:val="00675BEC"/>
    <w:rsid w:val="0068082D"/>
    <w:rsid w:val="006841FA"/>
    <w:rsid w:val="00684D16"/>
    <w:rsid w:val="00685E0C"/>
    <w:rsid w:val="006B386F"/>
    <w:rsid w:val="006C179D"/>
    <w:rsid w:val="006C5A73"/>
    <w:rsid w:val="006D01FB"/>
    <w:rsid w:val="006E19E3"/>
    <w:rsid w:val="006E36AD"/>
    <w:rsid w:val="006F0446"/>
    <w:rsid w:val="006F6466"/>
    <w:rsid w:val="00704432"/>
    <w:rsid w:val="00711B04"/>
    <w:rsid w:val="00721091"/>
    <w:rsid w:val="00722051"/>
    <w:rsid w:val="00723F9E"/>
    <w:rsid w:val="00725323"/>
    <w:rsid w:val="0073346E"/>
    <w:rsid w:val="00734EFB"/>
    <w:rsid w:val="00740809"/>
    <w:rsid w:val="00741ED9"/>
    <w:rsid w:val="00757ADF"/>
    <w:rsid w:val="00760582"/>
    <w:rsid w:val="00772CB8"/>
    <w:rsid w:val="007749E5"/>
    <w:rsid w:val="00776C39"/>
    <w:rsid w:val="00777530"/>
    <w:rsid w:val="00783379"/>
    <w:rsid w:val="00786FBE"/>
    <w:rsid w:val="007901ED"/>
    <w:rsid w:val="00794839"/>
    <w:rsid w:val="007A2C34"/>
    <w:rsid w:val="007A4670"/>
    <w:rsid w:val="007A4EA5"/>
    <w:rsid w:val="007B1C21"/>
    <w:rsid w:val="007C53A9"/>
    <w:rsid w:val="007E72DF"/>
    <w:rsid w:val="007F5A66"/>
    <w:rsid w:val="00812B0F"/>
    <w:rsid w:val="00813BC3"/>
    <w:rsid w:val="00816447"/>
    <w:rsid w:val="00817514"/>
    <w:rsid w:val="00820B63"/>
    <w:rsid w:val="0083064B"/>
    <w:rsid w:val="00831653"/>
    <w:rsid w:val="00831C8A"/>
    <w:rsid w:val="00831F6B"/>
    <w:rsid w:val="00832EDA"/>
    <w:rsid w:val="00840FE0"/>
    <w:rsid w:val="008413E5"/>
    <w:rsid w:val="00843B3E"/>
    <w:rsid w:val="008465B4"/>
    <w:rsid w:val="00866668"/>
    <w:rsid w:val="00873EC6"/>
    <w:rsid w:val="00877BDB"/>
    <w:rsid w:val="00883921"/>
    <w:rsid w:val="00886289"/>
    <w:rsid w:val="00891934"/>
    <w:rsid w:val="008A33AB"/>
    <w:rsid w:val="008A4930"/>
    <w:rsid w:val="008A6E34"/>
    <w:rsid w:val="008C0E2D"/>
    <w:rsid w:val="008E1A30"/>
    <w:rsid w:val="008E2C60"/>
    <w:rsid w:val="008E7049"/>
    <w:rsid w:val="008F7638"/>
    <w:rsid w:val="00915BF0"/>
    <w:rsid w:val="00921728"/>
    <w:rsid w:val="00925DF8"/>
    <w:rsid w:val="0093231C"/>
    <w:rsid w:val="00933A7A"/>
    <w:rsid w:val="00933F51"/>
    <w:rsid w:val="00937757"/>
    <w:rsid w:val="009539D0"/>
    <w:rsid w:val="009821BA"/>
    <w:rsid w:val="009845B9"/>
    <w:rsid w:val="00990409"/>
    <w:rsid w:val="00990461"/>
    <w:rsid w:val="009919CC"/>
    <w:rsid w:val="009A17A8"/>
    <w:rsid w:val="009B0AA2"/>
    <w:rsid w:val="009D1CFF"/>
    <w:rsid w:val="009D4DCD"/>
    <w:rsid w:val="009D5703"/>
    <w:rsid w:val="009F11FA"/>
    <w:rsid w:val="009F7EC3"/>
    <w:rsid w:val="00A015CA"/>
    <w:rsid w:val="00A10B6F"/>
    <w:rsid w:val="00A1730E"/>
    <w:rsid w:val="00A25227"/>
    <w:rsid w:val="00A25A27"/>
    <w:rsid w:val="00A26E4D"/>
    <w:rsid w:val="00A35512"/>
    <w:rsid w:val="00A418DE"/>
    <w:rsid w:val="00A4461E"/>
    <w:rsid w:val="00A448CE"/>
    <w:rsid w:val="00A525BB"/>
    <w:rsid w:val="00A6015D"/>
    <w:rsid w:val="00A64648"/>
    <w:rsid w:val="00A75DA9"/>
    <w:rsid w:val="00A82E52"/>
    <w:rsid w:val="00A85D5B"/>
    <w:rsid w:val="00A9785C"/>
    <w:rsid w:val="00AA0E24"/>
    <w:rsid w:val="00AA4790"/>
    <w:rsid w:val="00AC770C"/>
    <w:rsid w:val="00AC795D"/>
    <w:rsid w:val="00AD09B0"/>
    <w:rsid w:val="00AE2881"/>
    <w:rsid w:val="00AF2799"/>
    <w:rsid w:val="00AF3115"/>
    <w:rsid w:val="00AF3AEF"/>
    <w:rsid w:val="00AF416B"/>
    <w:rsid w:val="00AF4CA2"/>
    <w:rsid w:val="00B007AB"/>
    <w:rsid w:val="00B0253D"/>
    <w:rsid w:val="00B02A22"/>
    <w:rsid w:val="00B07BE1"/>
    <w:rsid w:val="00B10D6C"/>
    <w:rsid w:val="00B13167"/>
    <w:rsid w:val="00B13EDA"/>
    <w:rsid w:val="00B1722C"/>
    <w:rsid w:val="00B215C9"/>
    <w:rsid w:val="00B322AD"/>
    <w:rsid w:val="00B37945"/>
    <w:rsid w:val="00B556CA"/>
    <w:rsid w:val="00B620DC"/>
    <w:rsid w:val="00B62B73"/>
    <w:rsid w:val="00B65D27"/>
    <w:rsid w:val="00B70CC2"/>
    <w:rsid w:val="00B7425E"/>
    <w:rsid w:val="00B81452"/>
    <w:rsid w:val="00B81B55"/>
    <w:rsid w:val="00B855FF"/>
    <w:rsid w:val="00BA1039"/>
    <w:rsid w:val="00BA5D18"/>
    <w:rsid w:val="00BB29DA"/>
    <w:rsid w:val="00BB722C"/>
    <w:rsid w:val="00BB7A8D"/>
    <w:rsid w:val="00BC2E92"/>
    <w:rsid w:val="00BC35D1"/>
    <w:rsid w:val="00BE2623"/>
    <w:rsid w:val="00BE3B33"/>
    <w:rsid w:val="00C02620"/>
    <w:rsid w:val="00C22AD6"/>
    <w:rsid w:val="00C30177"/>
    <w:rsid w:val="00C346DA"/>
    <w:rsid w:val="00C3731C"/>
    <w:rsid w:val="00C41A07"/>
    <w:rsid w:val="00C45B00"/>
    <w:rsid w:val="00C4667A"/>
    <w:rsid w:val="00C50F4D"/>
    <w:rsid w:val="00C514C3"/>
    <w:rsid w:val="00C56438"/>
    <w:rsid w:val="00C66EDD"/>
    <w:rsid w:val="00C727A9"/>
    <w:rsid w:val="00C8227F"/>
    <w:rsid w:val="00C83B5C"/>
    <w:rsid w:val="00C91ADA"/>
    <w:rsid w:val="00C927D6"/>
    <w:rsid w:val="00CA6EC8"/>
    <w:rsid w:val="00CD0DB4"/>
    <w:rsid w:val="00CD3A9E"/>
    <w:rsid w:val="00CF39BF"/>
    <w:rsid w:val="00D03C6D"/>
    <w:rsid w:val="00D0450B"/>
    <w:rsid w:val="00D07B91"/>
    <w:rsid w:val="00D109B9"/>
    <w:rsid w:val="00D1307C"/>
    <w:rsid w:val="00D14B99"/>
    <w:rsid w:val="00D16935"/>
    <w:rsid w:val="00D25617"/>
    <w:rsid w:val="00D25F10"/>
    <w:rsid w:val="00D46D10"/>
    <w:rsid w:val="00D50667"/>
    <w:rsid w:val="00D52808"/>
    <w:rsid w:val="00D53AE9"/>
    <w:rsid w:val="00D6073E"/>
    <w:rsid w:val="00D64E12"/>
    <w:rsid w:val="00D70A42"/>
    <w:rsid w:val="00D75BBA"/>
    <w:rsid w:val="00D81AF7"/>
    <w:rsid w:val="00D9054E"/>
    <w:rsid w:val="00D94A0C"/>
    <w:rsid w:val="00DB083B"/>
    <w:rsid w:val="00DB259F"/>
    <w:rsid w:val="00DB450C"/>
    <w:rsid w:val="00DB5B59"/>
    <w:rsid w:val="00DC2163"/>
    <w:rsid w:val="00DD2CC1"/>
    <w:rsid w:val="00DD50B8"/>
    <w:rsid w:val="00DD72FE"/>
    <w:rsid w:val="00DE72EE"/>
    <w:rsid w:val="00DF090D"/>
    <w:rsid w:val="00DF329C"/>
    <w:rsid w:val="00E059E5"/>
    <w:rsid w:val="00E171F8"/>
    <w:rsid w:val="00E22205"/>
    <w:rsid w:val="00E24850"/>
    <w:rsid w:val="00E25AA2"/>
    <w:rsid w:val="00E3215F"/>
    <w:rsid w:val="00E34628"/>
    <w:rsid w:val="00E43F82"/>
    <w:rsid w:val="00E44557"/>
    <w:rsid w:val="00E45935"/>
    <w:rsid w:val="00E50F1D"/>
    <w:rsid w:val="00E5390A"/>
    <w:rsid w:val="00E53ABA"/>
    <w:rsid w:val="00E61B51"/>
    <w:rsid w:val="00E63478"/>
    <w:rsid w:val="00E643B1"/>
    <w:rsid w:val="00E71665"/>
    <w:rsid w:val="00E82EAB"/>
    <w:rsid w:val="00E8669A"/>
    <w:rsid w:val="00E87A70"/>
    <w:rsid w:val="00EB01CE"/>
    <w:rsid w:val="00EB2879"/>
    <w:rsid w:val="00EC4E65"/>
    <w:rsid w:val="00EC7674"/>
    <w:rsid w:val="00ED1975"/>
    <w:rsid w:val="00ED1B29"/>
    <w:rsid w:val="00ED61F3"/>
    <w:rsid w:val="00ED6BB7"/>
    <w:rsid w:val="00EE13D5"/>
    <w:rsid w:val="00EE1D29"/>
    <w:rsid w:val="00EE64EC"/>
    <w:rsid w:val="00EF1CB7"/>
    <w:rsid w:val="00F054B7"/>
    <w:rsid w:val="00F11833"/>
    <w:rsid w:val="00F172E1"/>
    <w:rsid w:val="00F210BA"/>
    <w:rsid w:val="00F21F6D"/>
    <w:rsid w:val="00F34608"/>
    <w:rsid w:val="00F42A17"/>
    <w:rsid w:val="00F42C21"/>
    <w:rsid w:val="00F4635A"/>
    <w:rsid w:val="00F502BA"/>
    <w:rsid w:val="00F53E64"/>
    <w:rsid w:val="00F74060"/>
    <w:rsid w:val="00F7742C"/>
    <w:rsid w:val="00F8435C"/>
    <w:rsid w:val="00F909C7"/>
    <w:rsid w:val="00FB0A08"/>
    <w:rsid w:val="00FB33DF"/>
    <w:rsid w:val="00FB6959"/>
    <w:rsid w:val="00FC1B1F"/>
    <w:rsid w:val="00FC2E13"/>
    <w:rsid w:val="00FD3EF5"/>
    <w:rsid w:val="0138168F"/>
    <w:rsid w:val="04D104E0"/>
    <w:rsid w:val="04EC3E4A"/>
    <w:rsid w:val="05C31417"/>
    <w:rsid w:val="09230FAB"/>
    <w:rsid w:val="0A10C0CC"/>
    <w:rsid w:val="0A2B8DA6"/>
    <w:rsid w:val="0CCA6061"/>
    <w:rsid w:val="0CEF7F2D"/>
    <w:rsid w:val="0DAA01FB"/>
    <w:rsid w:val="0F82D7CB"/>
    <w:rsid w:val="0F83D8DF"/>
    <w:rsid w:val="0FA3B0B4"/>
    <w:rsid w:val="10CC3A01"/>
    <w:rsid w:val="111DD2C9"/>
    <w:rsid w:val="1126AEF8"/>
    <w:rsid w:val="120DDF28"/>
    <w:rsid w:val="124DC3FE"/>
    <w:rsid w:val="126D4DFF"/>
    <w:rsid w:val="12DF1E3F"/>
    <w:rsid w:val="132DDE76"/>
    <w:rsid w:val="144FC21E"/>
    <w:rsid w:val="147F992D"/>
    <w:rsid w:val="14ACB60D"/>
    <w:rsid w:val="1520EAC5"/>
    <w:rsid w:val="164E4F1A"/>
    <w:rsid w:val="17B8DCB2"/>
    <w:rsid w:val="1881742F"/>
    <w:rsid w:val="19E83E07"/>
    <w:rsid w:val="1A43B8CD"/>
    <w:rsid w:val="1B25896C"/>
    <w:rsid w:val="1B468908"/>
    <w:rsid w:val="1F9D62BC"/>
    <w:rsid w:val="1FC44766"/>
    <w:rsid w:val="21B6FA6F"/>
    <w:rsid w:val="21D68732"/>
    <w:rsid w:val="21ED881B"/>
    <w:rsid w:val="23000598"/>
    <w:rsid w:val="23A0B347"/>
    <w:rsid w:val="24871B2C"/>
    <w:rsid w:val="26D5F7EB"/>
    <w:rsid w:val="27A93C73"/>
    <w:rsid w:val="289C1ABC"/>
    <w:rsid w:val="291B26DE"/>
    <w:rsid w:val="29441D1F"/>
    <w:rsid w:val="29D71D06"/>
    <w:rsid w:val="29DD5688"/>
    <w:rsid w:val="2A05D658"/>
    <w:rsid w:val="2AD08841"/>
    <w:rsid w:val="2BBC1246"/>
    <w:rsid w:val="2BF96D31"/>
    <w:rsid w:val="2D17B9C1"/>
    <w:rsid w:val="2D4D134C"/>
    <w:rsid w:val="2D779F83"/>
    <w:rsid w:val="2DC57F1C"/>
    <w:rsid w:val="2DED720E"/>
    <w:rsid w:val="304A591D"/>
    <w:rsid w:val="30FC1802"/>
    <w:rsid w:val="32D5EEE6"/>
    <w:rsid w:val="3340DE65"/>
    <w:rsid w:val="33940940"/>
    <w:rsid w:val="35F55D47"/>
    <w:rsid w:val="37A1D825"/>
    <w:rsid w:val="3939E5D3"/>
    <w:rsid w:val="398D586C"/>
    <w:rsid w:val="3A93EA80"/>
    <w:rsid w:val="3B0F0CB5"/>
    <w:rsid w:val="3B5FC2FA"/>
    <w:rsid w:val="3B9C0F78"/>
    <w:rsid w:val="3BAC3BDB"/>
    <w:rsid w:val="3C09F81D"/>
    <w:rsid w:val="3DB6B9A4"/>
    <w:rsid w:val="3F7F60CD"/>
    <w:rsid w:val="4091DAC8"/>
    <w:rsid w:val="41A4CDF0"/>
    <w:rsid w:val="41D20931"/>
    <w:rsid w:val="4215447D"/>
    <w:rsid w:val="436C1F11"/>
    <w:rsid w:val="43FB14E4"/>
    <w:rsid w:val="46026BB9"/>
    <w:rsid w:val="46F7A41C"/>
    <w:rsid w:val="4705D5EC"/>
    <w:rsid w:val="4793CA8D"/>
    <w:rsid w:val="47DC429D"/>
    <w:rsid w:val="4809401F"/>
    <w:rsid w:val="48A83DCF"/>
    <w:rsid w:val="48DFACD0"/>
    <w:rsid w:val="49B09F27"/>
    <w:rsid w:val="4AB983B4"/>
    <w:rsid w:val="4B4C6F88"/>
    <w:rsid w:val="4BE0F72C"/>
    <w:rsid w:val="4CE83FE9"/>
    <w:rsid w:val="4D33DF27"/>
    <w:rsid w:val="4DAB960F"/>
    <w:rsid w:val="4E229E48"/>
    <w:rsid w:val="4F1C1A23"/>
    <w:rsid w:val="4F5A020D"/>
    <w:rsid w:val="505BD672"/>
    <w:rsid w:val="50AD9E6A"/>
    <w:rsid w:val="52EC4134"/>
    <w:rsid w:val="555519E2"/>
    <w:rsid w:val="55FB1DA1"/>
    <w:rsid w:val="562804ED"/>
    <w:rsid w:val="5751F5AA"/>
    <w:rsid w:val="57EE7C51"/>
    <w:rsid w:val="58174DB4"/>
    <w:rsid w:val="591A1748"/>
    <w:rsid w:val="59553430"/>
    <w:rsid w:val="5972CF8E"/>
    <w:rsid w:val="59F7ED71"/>
    <w:rsid w:val="5C8331DC"/>
    <w:rsid w:val="5D0DA47F"/>
    <w:rsid w:val="5D4BC959"/>
    <w:rsid w:val="5DE60087"/>
    <w:rsid w:val="5E37074E"/>
    <w:rsid w:val="5EFDFCC5"/>
    <w:rsid w:val="5F41F861"/>
    <w:rsid w:val="602B02BC"/>
    <w:rsid w:val="603DDBB4"/>
    <w:rsid w:val="63ACF036"/>
    <w:rsid w:val="63D54EA1"/>
    <w:rsid w:val="63EFD969"/>
    <w:rsid w:val="64AEF0C6"/>
    <w:rsid w:val="64B8BE2C"/>
    <w:rsid w:val="653AABFB"/>
    <w:rsid w:val="658C02B4"/>
    <w:rsid w:val="65E8C12F"/>
    <w:rsid w:val="6672ECAB"/>
    <w:rsid w:val="66CCD71E"/>
    <w:rsid w:val="6705FF93"/>
    <w:rsid w:val="67478737"/>
    <w:rsid w:val="677FE08F"/>
    <w:rsid w:val="67A02DC6"/>
    <w:rsid w:val="67C19D03"/>
    <w:rsid w:val="686755AF"/>
    <w:rsid w:val="68861CF0"/>
    <w:rsid w:val="693FB07C"/>
    <w:rsid w:val="695481C0"/>
    <w:rsid w:val="6A57EBF3"/>
    <w:rsid w:val="6AA0B6D4"/>
    <w:rsid w:val="6B83C3B7"/>
    <w:rsid w:val="6C05C3E6"/>
    <w:rsid w:val="6C31C2D7"/>
    <w:rsid w:val="6D20C957"/>
    <w:rsid w:val="6EBE8E4F"/>
    <w:rsid w:val="70A980E8"/>
    <w:rsid w:val="717E5765"/>
    <w:rsid w:val="719EF449"/>
    <w:rsid w:val="731951C0"/>
    <w:rsid w:val="733AC4AA"/>
    <w:rsid w:val="7466C6AA"/>
    <w:rsid w:val="759CAD1F"/>
    <w:rsid w:val="763B89C6"/>
    <w:rsid w:val="769CD9DD"/>
    <w:rsid w:val="778234DE"/>
    <w:rsid w:val="778F5182"/>
    <w:rsid w:val="77A04410"/>
    <w:rsid w:val="77E0C717"/>
    <w:rsid w:val="780CE769"/>
    <w:rsid w:val="783F11B8"/>
    <w:rsid w:val="797A1AF4"/>
    <w:rsid w:val="7AE89050"/>
    <w:rsid w:val="7B2CAE32"/>
    <w:rsid w:val="7C4DF03A"/>
    <w:rsid w:val="7C8440F5"/>
    <w:rsid w:val="7D087782"/>
    <w:rsid w:val="7D6FD24A"/>
    <w:rsid w:val="7DF0A903"/>
    <w:rsid w:val="7F6D00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C3E0B"/>
  <w15:chartTrackingRefBased/>
  <w15:docId w15:val="{986C28ED-4894-4F7B-B4D3-B77B1505C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5" w:unhideWhenUsed="1" w:qFormat="1"/>
    <w:lsdException w:name="List Number" w:uiPriority="15"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4091DAC8"/>
    <w:pPr>
      <w:spacing w:after="200"/>
    </w:pPr>
  </w:style>
  <w:style w:type="paragraph" w:styleId="Heading1">
    <w:name w:val="heading 1"/>
    <w:basedOn w:val="BaseHeading"/>
    <w:next w:val="BodyText"/>
    <w:link w:val="Heading1Char"/>
    <w:uiPriority w:val="9"/>
    <w:qFormat/>
    <w:rsid w:val="0020544C"/>
    <w:pPr>
      <w:pageBreakBefore/>
      <w:spacing w:after="1500"/>
      <w:outlineLvl w:val="0"/>
    </w:pPr>
    <w:rPr>
      <w:rFonts w:eastAsiaTheme="majorEastAsia" w:cstheme="majorBidi"/>
      <w:color w:val="000000" w:themeColor="text1"/>
      <w:sz w:val="40"/>
      <w:szCs w:val="32"/>
    </w:rPr>
  </w:style>
  <w:style w:type="paragraph" w:styleId="Heading2">
    <w:name w:val="heading 2"/>
    <w:basedOn w:val="BaseHeading"/>
    <w:next w:val="BodyText"/>
    <w:link w:val="Heading2Char"/>
    <w:uiPriority w:val="9"/>
    <w:unhideWhenUsed/>
    <w:qFormat/>
    <w:rsid w:val="006F6466"/>
    <w:pPr>
      <w:spacing w:after="200"/>
      <w:outlineLvl w:val="1"/>
    </w:pPr>
    <w:rPr>
      <w:rFonts w:eastAsiaTheme="majorEastAsia" w:cstheme="majorBidi"/>
      <w:b/>
      <w:color w:val="666666"/>
      <w:sz w:val="32"/>
      <w:szCs w:val="26"/>
    </w:rPr>
  </w:style>
  <w:style w:type="paragraph" w:styleId="Heading3">
    <w:name w:val="heading 3"/>
    <w:basedOn w:val="BaseHeading"/>
    <w:next w:val="BodyText"/>
    <w:link w:val="Heading3Char"/>
    <w:uiPriority w:val="9"/>
    <w:unhideWhenUsed/>
    <w:qFormat/>
    <w:rsid w:val="00E53ABA"/>
    <w:pPr>
      <w:spacing w:after="200"/>
      <w:outlineLvl w:val="2"/>
    </w:pPr>
    <w:rPr>
      <w:rFonts w:eastAsiaTheme="majorEastAsia" w:cstheme="majorBidi"/>
      <w:b/>
      <w:bCs/>
      <w:color w:val="000000" w:themeColor="text1"/>
      <w:sz w:val="24"/>
      <w:szCs w:val="24"/>
    </w:rPr>
  </w:style>
  <w:style w:type="paragraph" w:styleId="Heading4">
    <w:name w:val="heading 4"/>
    <w:basedOn w:val="Normal"/>
    <w:next w:val="Normal"/>
    <w:link w:val="Heading4Char"/>
    <w:uiPriority w:val="9"/>
    <w:semiHidden/>
    <w:qFormat/>
    <w:rsid w:val="4091DAC8"/>
    <w:pPr>
      <w:keepNext/>
      <w:spacing w:before="40" w:after="0"/>
      <w:outlineLvl w:val="3"/>
    </w:pPr>
    <w:rPr>
      <w:rFonts w:asciiTheme="majorHAnsi" w:eastAsiaTheme="majorEastAsia" w:hAnsiTheme="majorHAnsi" w:cstheme="majorBidi"/>
      <w:i/>
      <w:iCs/>
      <w:color w:val="4C1B61" w:themeColor="accent1" w:themeShade="BF"/>
    </w:rPr>
  </w:style>
  <w:style w:type="paragraph" w:styleId="Heading5">
    <w:name w:val="heading 5"/>
    <w:basedOn w:val="Normal"/>
    <w:next w:val="Normal"/>
    <w:uiPriority w:val="9"/>
    <w:unhideWhenUsed/>
    <w:qFormat/>
    <w:rsid w:val="4091DAC8"/>
    <w:pPr>
      <w:keepNext/>
      <w:spacing w:before="40" w:after="0"/>
      <w:outlineLvl w:val="4"/>
    </w:pPr>
    <w:rPr>
      <w:rFonts w:asciiTheme="majorHAnsi" w:eastAsiaTheme="majorEastAsia" w:hAnsiTheme="majorHAnsi" w:cstheme="majorBidi"/>
      <w:color w:val="4C1B61" w:themeColor="accent1" w:themeShade="BF"/>
    </w:rPr>
  </w:style>
  <w:style w:type="paragraph" w:styleId="Heading6">
    <w:name w:val="heading 6"/>
    <w:basedOn w:val="Normal"/>
    <w:next w:val="Normal"/>
    <w:uiPriority w:val="9"/>
    <w:unhideWhenUsed/>
    <w:qFormat/>
    <w:rsid w:val="4091DAC8"/>
    <w:pPr>
      <w:keepNext/>
      <w:spacing w:before="40" w:after="0"/>
      <w:outlineLvl w:val="5"/>
    </w:pPr>
    <w:rPr>
      <w:rFonts w:asciiTheme="majorHAnsi" w:eastAsiaTheme="majorEastAsia" w:hAnsiTheme="majorHAnsi" w:cstheme="majorBidi"/>
      <w:color w:val="321241" w:themeColor="accent1" w:themeShade="80"/>
    </w:rPr>
  </w:style>
  <w:style w:type="paragraph" w:styleId="Heading7">
    <w:name w:val="heading 7"/>
    <w:basedOn w:val="Normal"/>
    <w:next w:val="Normal"/>
    <w:uiPriority w:val="9"/>
    <w:unhideWhenUsed/>
    <w:qFormat/>
    <w:rsid w:val="4091DAC8"/>
    <w:pPr>
      <w:keepNext/>
      <w:spacing w:before="40" w:after="0"/>
      <w:outlineLvl w:val="6"/>
    </w:pPr>
    <w:rPr>
      <w:rFonts w:asciiTheme="majorHAnsi" w:eastAsiaTheme="majorEastAsia" w:hAnsiTheme="majorHAnsi" w:cstheme="majorBidi"/>
      <w:i/>
      <w:iCs/>
      <w:color w:val="321241" w:themeColor="accent1" w:themeShade="80"/>
    </w:rPr>
  </w:style>
  <w:style w:type="paragraph" w:styleId="Heading8">
    <w:name w:val="heading 8"/>
    <w:basedOn w:val="Normal"/>
    <w:next w:val="Normal"/>
    <w:uiPriority w:val="9"/>
    <w:unhideWhenUsed/>
    <w:qFormat/>
    <w:rsid w:val="4091DAC8"/>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uiPriority w:val="9"/>
    <w:unhideWhenUsed/>
    <w:qFormat/>
    <w:rsid w:val="4091DAC8"/>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Text"/>
    <w:link w:val="BodyTextChar"/>
    <w:uiPriority w:val="14"/>
    <w:unhideWhenUsed/>
    <w:qFormat/>
    <w:rsid w:val="00B007AB"/>
    <w:pPr>
      <w:spacing w:after="200"/>
    </w:pPr>
  </w:style>
  <w:style w:type="character" w:customStyle="1" w:styleId="BodyTextChar">
    <w:name w:val="Body Text Char"/>
    <w:basedOn w:val="DefaultParagraphFont"/>
    <w:link w:val="BodyText"/>
    <w:uiPriority w:val="14"/>
    <w:rsid w:val="00B007AB"/>
  </w:style>
  <w:style w:type="character" w:customStyle="1" w:styleId="Heading1Char">
    <w:name w:val="Heading 1 Char"/>
    <w:basedOn w:val="DefaultParagraphFont"/>
    <w:link w:val="Heading1"/>
    <w:uiPriority w:val="9"/>
    <w:rsid w:val="0020544C"/>
    <w:rPr>
      <w:rFonts w:asciiTheme="majorHAnsi" w:eastAsiaTheme="majorEastAsia" w:hAnsiTheme="majorHAnsi" w:cstheme="majorBidi"/>
      <w:color w:val="000000" w:themeColor="text1"/>
      <w:sz w:val="40"/>
      <w:szCs w:val="32"/>
    </w:rPr>
  </w:style>
  <w:style w:type="character" w:customStyle="1" w:styleId="Heading2Char">
    <w:name w:val="Heading 2 Char"/>
    <w:basedOn w:val="DefaultParagraphFont"/>
    <w:link w:val="Heading2"/>
    <w:uiPriority w:val="9"/>
    <w:rsid w:val="006F6466"/>
    <w:rPr>
      <w:rFonts w:asciiTheme="majorHAnsi" w:eastAsiaTheme="majorEastAsia" w:hAnsiTheme="majorHAnsi" w:cstheme="majorBidi"/>
      <w:b/>
      <w:color w:val="666666"/>
      <w:sz w:val="32"/>
      <w:szCs w:val="26"/>
    </w:rPr>
  </w:style>
  <w:style w:type="character" w:customStyle="1" w:styleId="Heading3Char">
    <w:name w:val="Heading 3 Char"/>
    <w:basedOn w:val="DefaultParagraphFont"/>
    <w:link w:val="Heading3"/>
    <w:uiPriority w:val="9"/>
    <w:rsid w:val="00E53ABA"/>
    <w:rPr>
      <w:rFonts w:asciiTheme="majorHAnsi" w:eastAsiaTheme="majorEastAsia" w:hAnsiTheme="majorHAnsi" w:cstheme="majorBidi"/>
      <w:b/>
      <w:bCs/>
      <w:color w:val="000000" w:themeColor="text1"/>
      <w:sz w:val="24"/>
      <w:szCs w:val="24"/>
    </w:rPr>
  </w:style>
  <w:style w:type="character" w:customStyle="1" w:styleId="Heading4Char">
    <w:name w:val="Heading 4 Char"/>
    <w:basedOn w:val="DefaultParagraphFont"/>
    <w:link w:val="Heading4"/>
    <w:uiPriority w:val="9"/>
    <w:semiHidden/>
    <w:rsid w:val="006F6466"/>
    <w:rPr>
      <w:rFonts w:asciiTheme="majorHAnsi" w:eastAsiaTheme="majorEastAsia" w:hAnsiTheme="majorHAnsi" w:cstheme="majorBidi"/>
      <w:i/>
      <w:iCs/>
      <w:color w:val="4C1B61" w:themeColor="accent1" w:themeShade="BF"/>
    </w:rPr>
  </w:style>
  <w:style w:type="paragraph" w:styleId="Title">
    <w:name w:val="Title"/>
    <w:basedOn w:val="BaseHeading"/>
    <w:next w:val="Subtitle"/>
    <w:link w:val="TitleChar"/>
    <w:uiPriority w:val="49"/>
    <w:qFormat/>
    <w:rsid w:val="00ED6BB7"/>
    <w:pPr>
      <w:spacing w:after="200"/>
    </w:pPr>
    <w:rPr>
      <w:rFonts w:eastAsiaTheme="majorEastAsia" w:cstheme="majorBidi"/>
      <w:color w:val="881866" w:themeColor="accent5"/>
      <w:sz w:val="60"/>
      <w:szCs w:val="56"/>
    </w:rPr>
  </w:style>
  <w:style w:type="character" w:customStyle="1" w:styleId="TitleChar">
    <w:name w:val="Title Char"/>
    <w:basedOn w:val="DefaultParagraphFont"/>
    <w:link w:val="Title"/>
    <w:uiPriority w:val="49"/>
    <w:rsid w:val="00ED6BB7"/>
    <w:rPr>
      <w:rFonts w:asciiTheme="majorHAnsi" w:eastAsiaTheme="majorEastAsia" w:hAnsiTheme="majorHAnsi" w:cstheme="majorBidi"/>
      <w:color w:val="881866" w:themeColor="accent5"/>
      <w:sz w:val="60"/>
      <w:szCs w:val="56"/>
    </w:rPr>
  </w:style>
  <w:style w:type="paragraph" w:styleId="Subtitle">
    <w:name w:val="Subtitle"/>
    <w:basedOn w:val="BaseHeading"/>
    <w:next w:val="BodyText"/>
    <w:link w:val="SubtitleChar"/>
    <w:uiPriority w:val="50"/>
    <w:qFormat/>
    <w:rsid w:val="00B007AB"/>
    <w:pPr>
      <w:numPr>
        <w:ilvl w:val="1"/>
      </w:numPr>
      <w:spacing w:after="200"/>
    </w:pPr>
    <w:rPr>
      <w:rFonts w:eastAsiaTheme="minorEastAsia"/>
      <w:b/>
      <w:color w:val="666666"/>
      <w:sz w:val="32"/>
    </w:rPr>
  </w:style>
  <w:style w:type="character" w:customStyle="1" w:styleId="SubtitleChar">
    <w:name w:val="Subtitle Char"/>
    <w:basedOn w:val="DefaultParagraphFont"/>
    <w:link w:val="Subtitle"/>
    <w:uiPriority w:val="50"/>
    <w:rsid w:val="00B007AB"/>
    <w:rPr>
      <w:rFonts w:asciiTheme="majorHAnsi" w:eastAsiaTheme="minorEastAsia" w:hAnsiTheme="majorHAnsi" w:cstheme="majorHAnsi"/>
      <w:b/>
      <w:color w:val="666666"/>
      <w:sz w:val="32"/>
    </w:rPr>
  </w:style>
  <w:style w:type="paragraph" w:customStyle="1" w:styleId="BaseStyle">
    <w:name w:val="___Base Style"/>
    <w:uiPriority w:val="99"/>
    <w:semiHidden/>
    <w:rsid w:val="00B007AB"/>
    <w:pPr>
      <w:spacing w:after="0" w:line="276" w:lineRule="auto"/>
    </w:pPr>
  </w:style>
  <w:style w:type="paragraph" w:customStyle="1" w:styleId="BaseTable">
    <w:name w:val="___Base Table"/>
    <w:uiPriority w:val="99"/>
    <w:semiHidden/>
    <w:rsid w:val="00B007AB"/>
  </w:style>
  <w:style w:type="paragraph" w:customStyle="1" w:styleId="BaseText">
    <w:name w:val="__Base Text"/>
    <w:basedOn w:val="BaseStyle"/>
    <w:uiPriority w:val="99"/>
    <w:semiHidden/>
    <w:rsid w:val="006F6466"/>
    <w:pPr>
      <w:spacing w:line="360" w:lineRule="auto"/>
    </w:pPr>
    <w:rPr>
      <w:sz w:val="22"/>
    </w:rPr>
  </w:style>
  <w:style w:type="paragraph" w:customStyle="1" w:styleId="BaseHeading">
    <w:name w:val="__Base Heading"/>
    <w:basedOn w:val="BaseStyle"/>
    <w:next w:val="BodyText"/>
    <w:uiPriority w:val="99"/>
    <w:semiHidden/>
    <w:rsid w:val="00B007AB"/>
    <w:pPr>
      <w:keepNext/>
      <w:keepLines/>
      <w:spacing w:line="360" w:lineRule="auto"/>
    </w:pPr>
    <w:rPr>
      <w:rFonts w:asciiTheme="majorHAnsi" w:hAnsiTheme="majorHAnsi" w:cstheme="majorHAnsi"/>
    </w:rPr>
  </w:style>
  <w:style w:type="table" w:customStyle="1" w:styleId="Plain">
    <w:name w:val="Plain"/>
    <w:basedOn w:val="TableNormal"/>
    <w:rsid w:val="00B007AB"/>
    <w:pPr>
      <w:spacing w:after="0" w:line="240" w:lineRule="auto"/>
    </w:pPr>
    <w:tblPr/>
    <w:tcPr>
      <w:shd w:val="clear" w:color="auto" w:fill="auto"/>
      <w:tcMar>
        <w:left w:w="0" w:type="dxa"/>
        <w:right w:w="0" w:type="dxa"/>
      </w:tcMar>
    </w:tcPr>
  </w:style>
  <w:style w:type="paragraph" w:customStyle="1" w:styleId="1ptspacer">
    <w:name w:val="__1pt spacer"/>
    <w:basedOn w:val="BaseStyle"/>
    <w:next w:val="BodyText"/>
    <w:uiPriority w:val="99"/>
    <w:semiHidden/>
    <w:rsid w:val="00B007AB"/>
    <w:pPr>
      <w:spacing w:line="20" w:lineRule="exact"/>
    </w:pPr>
    <w:rPr>
      <w:sz w:val="2"/>
    </w:rPr>
  </w:style>
  <w:style w:type="paragraph" w:customStyle="1" w:styleId="BaseSECTION">
    <w:name w:val="__Base SECTION"/>
    <w:basedOn w:val="BaseText"/>
    <w:next w:val="BodyText"/>
    <w:uiPriority w:val="99"/>
    <w:semiHidden/>
    <w:rsid w:val="00B007AB"/>
    <w:pPr>
      <w:spacing w:line="20" w:lineRule="exact"/>
    </w:pPr>
    <w:rPr>
      <w:color w:val="0000FF"/>
    </w:rPr>
  </w:style>
  <w:style w:type="paragraph" w:customStyle="1" w:styleId="Placeholder">
    <w:name w:val="__Placeholder"/>
    <w:basedOn w:val="BaseText"/>
    <w:next w:val="BodyText"/>
    <w:uiPriority w:val="99"/>
    <w:semiHidden/>
    <w:rsid w:val="00B007AB"/>
    <w:pPr>
      <w:spacing w:line="240" w:lineRule="auto"/>
      <w:jc w:val="center"/>
    </w:pPr>
  </w:style>
  <w:style w:type="paragraph" w:customStyle="1" w:styleId="TableSpaceAfter">
    <w:name w:val="__TableSpaceAfter"/>
    <w:basedOn w:val="BaseStyle"/>
    <w:next w:val="BodyText"/>
    <w:uiPriority w:val="99"/>
    <w:semiHidden/>
    <w:rsid w:val="00B007AB"/>
    <w:pPr>
      <w:spacing w:line="20" w:lineRule="exact"/>
    </w:pPr>
    <w:rPr>
      <w:sz w:val="2"/>
    </w:rPr>
  </w:style>
  <w:style w:type="paragraph" w:styleId="ListBullet">
    <w:name w:val="List Bullet"/>
    <w:basedOn w:val="BodyText"/>
    <w:uiPriority w:val="15"/>
    <w:unhideWhenUsed/>
    <w:qFormat/>
    <w:rsid w:val="007A4EA5"/>
    <w:pPr>
      <w:numPr>
        <w:numId w:val="1"/>
      </w:numPr>
    </w:pPr>
  </w:style>
  <w:style w:type="paragraph" w:customStyle="1" w:styleId="TableText">
    <w:name w:val="Table Text"/>
    <w:basedOn w:val="BaseTable"/>
    <w:uiPriority w:val="22"/>
    <w:qFormat/>
    <w:rsid w:val="00B007AB"/>
  </w:style>
  <w:style w:type="paragraph" w:customStyle="1" w:styleId="Covertext">
    <w:name w:val="Cover text"/>
    <w:basedOn w:val="Diagramimagecaption"/>
    <w:uiPriority w:val="51"/>
    <w:rsid w:val="00741ED9"/>
  </w:style>
  <w:style w:type="character" w:styleId="Hyperlink">
    <w:name w:val="Hyperlink"/>
    <w:basedOn w:val="DefaultParagraphFont"/>
    <w:uiPriority w:val="99"/>
    <w:rsid w:val="0012693F"/>
    <w:rPr>
      <w:color w:val="EC0080"/>
      <w:u w:val="single"/>
    </w:rPr>
  </w:style>
  <w:style w:type="character" w:styleId="BookTitle">
    <w:name w:val="Book Title"/>
    <w:basedOn w:val="DefaultParagraphFont"/>
    <w:uiPriority w:val="33"/>
    <w:semiHidden/>
    <w:qFormat/>
    <w:rsid w:val="00B007AB"/>
    <w:rPr>
      <w:b/>
      <w:bCs/>
      <w:i/>
      <w:iCs/>
      <w:spacing w:val="5"/>
    </w:rPr>
  </w:style>
  <w:style w:type="character" w:styleId="Emphasis">
    <w:name w:val="Emphasis"/>
    <w:basedOn w:val="DefaultParagraphFont"/>
    <w:uiPriority w:val="20"/>
    <w:semiHidden/>
    <w:qFormat/>
    <w:rsid w:val="00B007AB"/>
    <w:rPr>
      <w:i/>
      <w:iCs/>
    </w:rPr>
  </w:style>
  <w:style w:type="character" w:styleId="IntenseEmphasis">
    <w:name w:val="Intense Emphasis"/>
    <w:basedOn w:val="DefaultParagraphFont"/>
    <w:uiPriority w:val="21"/>
    <w:semiHidden/>
    <w:qFormat/>
    <w:rsid w:val="00B007AB"/>
    <w:rPr>
      <w:i/>
      <w:iCs/>
      <w:color w:val="662583" w:themeColor="accent1"/>
    </w:rPr>
  </w:style>
  <w:style w:type="paragraph" w:styleId="IntenseQuote">
    <w:name w:val="Intense Quote"/>
    <w:basedOn w:val="Normal"/>
    <w:next w:val="Normal"/>
    <w:link w:val="IntenseQuoteChar"/>
    <w:uiPriority w:val="30"/>
    <w:semiHidden/>
    <w:qFormat/>
    <w:rsid w:val="4091DAC8"/>
    <w:pPr>
      <w:spacing w:before="360" w:after="360"/>
      <w:ind w:left="864" w:right="864"/>
      <w:jc w:val="center"/>
    </w:pPr>
    <w:rPr>
      <w:i/>
      <w:iCs/>
      <w:color w:val="662583" w:themeColor="accent1"/>
    </w:rPr>
  </w:style>
  <w:style w:type="character" w:customStyle="1" w:styleId="IntenseQuoteChar">
    <w:name w:val="Intense Quote Char"/>
    <w:basedOn w:val="DefaultParagraphFont"/>
    <w:link w:val="IntenseQuote"/>
    <w:uiPriority w:val="30"/>
    <w:rsid w:val="00B007AB"/>
    <w:rPr>
      <w:i/>
      <w:iCs/>
      <w:color w:val="662583" w:themeColor="accent1"/>
    </w:rPr>
  </w:style>
  <w:style w:type="character" w:styleId="IntenseReference">
    <w:name w:val="Intense Reference"/>
    <w:basedOn w:val="DefaultParagraphFont"/>
    <w:uiPriority w:val="32"/>
    <w:semiHidden/>
    <w:qFormat/>
    <w:rsid w:val="00B007AB"/>
    <w:rPr>
      <w:b/>
      <w:bCs/>
      <w:smallCaps/>
      <w:color w:val="662583" w:themeColor="accent1"/>
      <w:spacing w:val="5"/>
    </w:rPr>
  </w:style>
  <w:style w:type="paragraph" w:styleId="ListParagraph">
    <w:name w:val="List Paragraph"/>
    <w:basedOn w:val="Normal"/>
    <w:uiPriority w:val="34"/>
    <w:qFormat/>
    <w:rsid w:val="4091DAC8"/>
    <w:pPr>
      <w:ind w:left="720"/>
      <w:contextualSpacing/>
    </w:pPr>
  </w:style>
  <w:style w:type="paragraph" w:styleId="NoSpacing">
    <w:name w:val="No Spacing"/>
    <w:link w:val="NoSpacingChar"/>
    <w:uiPriority w:val="1"/>
    <w:qFormat/>
    <w:rsid w:val="00B007AB"/>
    <w:pPr>
      <w:spacing w:after="0" w:line="240" w:lineRule="auto"/>
    </w:pPr>
  </w:style>
  <w:style w:type="paragraph" w:styleId="Quote">
    <w:name w:val="Quote"/>
    <w:basedOn w:val="Normal"/>
    <w:next w:val="Normal"/>
    <w:link w:val="QuoteChar"/>
    <w:uiPriority w:val="29"/>
    <w:semiHidden/>
    <w:qFormat/>
    <w:rsid w:val="4091DAC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007AB"/>
    <w:rPr>
      <w:i/>
      <w:iCs/>
      <w:color w:val="404040" w:themeColor="text1" w:themeTint="BF"/>
    </w:rPr>
  </w:style>
  <w:style w:type="character" w:styleId="Strong">
    <w:name w:val="Strong"/>
    <w:basedOn w:val="DefaultParagraphFont"/>
    <w:uiPriority w:val="22"/>
    <w:semiHidden/>
    <w:qFormat/>
    <w:rsid w:val="00B007AB"/>
    <w:rPr>
      <w:b/>
      <w:bCs/>
    </w:rPr>
  </w:style>
  <w:style w:type="character" w:styleId="SubtleEmphasis">
    <w:name w:val="Subtle Emphasis"/>
    <w:basedOn w:val="DefaultParagraphFont"/>
    <w:uiPriority w:val="19"/>
    <w:semiHidden/>
    <w:qFormat/>
    <w:rsid w:val="00B007AB"/>
    <w:rPr>
      <w:i/>
      <w:iCs/>
      <w:color w:val="404040" w:themeColor="text1" w:themeTint="BF"/>
    </w:rPr>
  </w:style>
  <w:style w:type="character" w:styleId="SubtleReference">
    <w:name w:val="Subtle Reference"/>
    <w:basedOn w:val="DefaultParagraphFont"/>
    <w:uiPriority w:val="31"/>
    <w:semiHidden/>
    <w:qFormat/>
    <w:rsid w:val="00B007AB"/>
    <w:rPr>
      <w:smallCaps/>
      <w:color w:val="5A5A5A" w:themeColor="text1" w:themeTint="A5"/>
    </w:rPr>
  </w:style>
  <w:style w:type="paragraph" w:styleId="Header">
    <w:name w:val="header"/>
    <w:basedOn w:val="Footer"/>
    <w:link w:val="HeaderChar"/>
    <w:uiPriority w:val="97"/>
    <w:unhideWhenUsed/>
    <w:rsid w:val="00E53ABA"/>
  </w:style>
  <w:style w:type="character" w:customStyle="1" w:styleId="HeaderChar">
    <w:name w:val="Header Char"/>
    <w:basedOn w:val="DefaultParagraphFont"/>
    <w:link w:val="Header"/>
    <w:uiPriority w:val="97"/>
    <w:rsid w:val="00E8669A"/>
    <w:rPr>
      <w:color w:val="666666"/>
      <w:sz w:val="18"/>
    </w:rPr>
  </w:style>
  <w:style w:type="paragraph" w:styleId="Footer">
    <w:name w:val="footer"/>
    <w:basedOn w:val="BodyText"/>
    <w:link w:val="FooterChar"/>
    <w:uiPriority w:val="98"/>
    <w:unhideWhenUsed/>
    <w:rsid w:val="00E643B1"/>
    <w:pPr>
      <w:spacing w:after="0"/>
      <w:jc w:val="right"/>
    </w:pPr>
    <w:rPr>
      <w:color w:val="666666"/>
      <w:sz w:val="18"/>
    </w:rPr>
  </w:style>
  <w:style w:type="character" w:customStyle="1" w:styleId="FooterChar">
    <w:name w:val="Footer Char"/>
    <w:basedOn w:val="DefaultParagraphFont"/>
    <w:link w:val="Footer"/>
    <w:uiPriority w:val="98"/>
    <w:rsid w:val="00E8669A"/>
    <w:rPr>
      <w:color w:val="666666"/>
      <w:sz w:val="18"/>
    </w:rPr>
  </w:style>
  <w:style w:type="character" w:styleId="PlaceholderText">
    <w:name w:val="Placeholder Text"/>
    <w:basedOn w:val="DefaultParagraphFont"/>
    <w:uiPriority w:val="99"/>
    <w:semiHidden/>
    <w:rsid w:val="00FC1B1F"/>
    <w:rPr>
      <w:color w:val="808080"/>
    </w:rPr>
  </w:style>
  <w:style w:type="paragraph" w:customStyle="1" w:styleId="Pull-outquote">
    <w:name w:val="Pull-out quote"/>
    <w:basedOn w:val="BodyText"/>
    <w:next w:val="Pull-outquoteauthor"/>
    <w:uiPriority w:val="19"/>
    <w:qFormat/>
    <w:rsid w:val="007901ED"/>
    <w:rPr>
      <w:i/>
      <w:iCs/>
      <w:color w:val="662583" w:themeColor="accent1"/>
    </w:rPr>
  </w:style>
  <w:style w:type="paragraph" w:customStyle="1" w:styleId="Pull-outquoteauthor">
    <w:name w:val="Pull-out quote author"/>
    <w:basedOn w:val="BodyText"/>
    <w:next w:val="BodyText"/>
    <w:uiPriority w:val="19"/>
    <w:qFormat/>
    <w:rsid w:val="007B1C21"/>
    <w:pPr>
      <w:jc w:val="right"/>
    </w:pPr>
    <w:rPr>
      <w:b/>
      <w:bCs/>
      <w:color w:val="666666"/>
    </w:rPr>
  </w:style>
  <w:style w:type="numbering" w:customStyle="1" w:styleId="ListBullets">
    <w:name w:val="List Bullets"/>
    <w:uiPriority w:val="99"/>
    <w:rsid w:val="007A4EA5"/>
    <w:pPr>
      <w:numPr>
        <w:numId w:val="1"/>
      </w:numPr>
    </w:pPr>
  </w:style>
  <w:style w:type="paragraph" w:styleId="ListNumber">
    <w:name w:val="List Number"/>
    <w:basedOn w:val="BodyText"/>
    <w:uiPriority w:val="15"/>
    <w:qFormat/>
    <w:rsid w:val="007A4EA5"/>
    <w:pPr>
      <w:numPr>
        <w:numId w:val="3"/>
      </w:numPr>
    </w:pPr>
  </w:style>
  <w:style w:type="numbering" w:customStyle="1" w:styleId="ListNumbers">
    <w:name w:val="List Numbers"/>
    <w:uiPriority w:val="99"/>
    <w:rsid w:val="00506CA4"/>
    <w:pPr>
      <w:numPr>
        <w:numId w:val="2"/>
      </w:numPr>
    </w:pPr>
  </w:style>
  <w:style w:type="paragraph" w:customStyle="1" w:styleId="Diagramimagecaption">
    <w:name w:val="Diagram/image caption"/>
    <w:basedOn w:val="BodyText"/>
    <w:next w:val="BodyText"/>
    <w:uiPriority w:val="19"/>
    <w:qFormat/>
    <w:rsid w:val="00813BC3"/>
    <w:rPr>
      <w:color w:val="666666"/>
      <w:sz w:val="18"/>
      <w:szCs w:val="18"/>
    </w:rPr>
  </w:style>
  <w:style w:type="paragraph" w:customStyle="1" w:styleId="Textboxcontent">
    <w:name w:val="Text box content"/>
    <w:basedOn w:val="BodyText"/>
    <w:uiPriority w:val="20"/>
    <w:qFormat/>
    <w:rsid w:val="00813BC3"/>
    <w:pPr>
      <w:pBdr>
        <w:top w:val="single" w:sz="18" w:space="12" w:color="662583" w:themeColor="accent1"/>
        <w:left w:val="single" w:sz="18" w:space="6" w:color="662583" w:themeColor="accent1"/>
        <w:bottom w:val="single" w:sz="18" w:space="10" w:color="662583" w:themeColor="accent1"/>
        <w:right w:val="single" w:sz="18" w:space="6" w:color="662583" w:themeColor="accent1"/>
      </w:pBdr>
      <w:ind w:left="170" w:right="170"/>
    </w:pPr>
  </w:style>
  <w:style w:type="paragraph" w:customStyle="1" w:styleId="Textboxtitle">
    <w:name w:val="Text box title"/>
    <w:basedOn w:val="Textboxcontent"/>
    <w:next w:val="Textboxcontent"/>
    <w:uiPriority w:val="19"/>
    <w:qFormat/>
    <w:rsid w:val="00E53ABA"/>
    <w:pPr>
      <w:spacing w:before="200"/>
    </w:pPr>
    <w:rPr>
      <w:b/>
    </w:rPr>
  </w:style>
  <w:style w:type="paragraph" w:styleId="EndnoteText">
    <w:name w:val="endnote text"/>
    <w:basedOn w:val="BodyText"/>
    <w:link w:val="EndnoteTextChar"/>
    <w:uiPriority w:val="96"/>
    <w:rsid w:val="00E53ABA"/>
    <w:rPr>
      <w:color w:val="666666"/>
      <w:sz w:val="18"/>
    </w:rPr>
  </w:style>
  <w:style w:type="character" w:customStyle="1" w:styleId="EndnoteTextChar">
    <w:name w:val="Endnote Text Char"/>
    <w:basedOn w:val="DefaultParagraphFont"/>
    <w:link w:val="EndnoteText"/>
    <w:uiPriority w:val="96"/>
    <w:rsid w:val="00E8669A"/>
    <w:rPr>
      <w:color w:val="666666"/>
      <w:sz w:val="18"/>
    </w:rPr>
  </w:style>
  <w:style w:type="paragraph" w:styleId="FootnoteText">
    <w:name w:val="footnote text"/>
    <w:basedOn w:val="BodyText"/>
    <w:link w:val="FootnoteTextChar"/>
    <w:uiPriority w:val="99"/>
    <w:rsid w:val="00E53ABA"/>
    <w:rPr>
      <w:color w:val="666666"/>
      <w:sz w:val="18"/>
    </w:rPr>
  </w:style>
  <w:style w:type="character" w:customStyle="1" w:styleId="FootnoteTextChar">
    <w:name w:val="Footnote Text Char"/>
    <w:basedOn w:val="DefaultParagraphFont"/>
    <w:link w:val="FootnoteText"/>
    <w:uiPriority w:val="99"/>
    <w:rsid w:val="00E8669A"/>
    <w:rPr>
      <w:color w:val="666666"/>
      <w:sz w:val="18"/>
    </w:rPr>
  </w:style>
  <w:style w:type="table" w:customStyle="1" w:styleId="NPCtable">
    <w:name w:val="NPC table"/>
    <w:basedOn w:val="TableNormal"/>
    <w:uiPriority w:val="99"/>
    <w:rsid w:val="00741ED9"/>
    <w:pPr>
      <w:spacing w:before="100" w:after="100" w:line="360" w:lineRule="auto"/>
    </w:pPr>
    <w:tblPr>
      <w:tblBorders>
        <w:top w:val="single" w:sz="4" w:space="0" w:color="662583" w:themeColor="accent1"/>
        <w:left w:val="single" w:sz="4" w:space="0" w:color="662583" w:themeColor="accent1"/>
        <w:bottom w:val="single" w:sz="4" w:space="0" w:color="662583" w:themeColor="accent1"/>
        <w:right w:val="single" w:sz="4" w:space="0" w:color="662583" w:themeColor="accent1"/>
        <w:insideH w:val="single" w:sz="4" w:space="0" w:color="662583" w:themeColor="accent1"/>
        <w:insideV w:val="single" w:sz="4" w:space="0" w:color="662583" w:themeColor="accent1"/>
      </w:tblBorders>
    </w:tblPr>
    <w:tblStylePr w:type="firstRow">
      <w:pPr>
        <w:jc w:val="center"/>
      </w:pPr>
      <w:rPr>
        <w:b/>
        <w:color w:val="FFFFFF" w:themeColor="background1"/>
      </w:rPr>
      <w:tblPr/>
      <w:tcPr>
        <w:shd w:val="clear" w:color="auto" w:fill="662583" w:themeFill="accent1"/>
      </w:tcPr>
    </w:tblStylePr>
  </w:style>
  <w:style w:type="character" w:styleId="UnresolvedMention">
    <w:name w:val="Unresolved Mention"/>
    <w:basedOn w:val="DefaultParagraphFont"/>
    <w:uiPriority w:val="99"/>
    <w:semiHidden/>
    <w:unhideWhenUsed/>
    <w:rsid w:val="007A4670"/>
    <w:rPr>
      <w:color w:val="605E5C"/>
      <w:shd w:val="clear" w:color="auto" w:fill="E1DFDD"/>
    </w:rPr>
  </w:style>
  <w:style w:type="character" w:styleId="CommentReference">
    <w:name w:val="annotation reference"/>
    <w:basedOn w:val="DefaultParagraphFont"/>
    <w:uiPriority w:val="99"/>
    <w:semiHidden/>
    <w:unhideWhenUsed/>
    <w:rsid w:val="008C0E2D"/>
    <w:rPr>
      <w:sz w:val="16"/>
      <w:szCs w:val="16"/>
    </w:rPr>
  </w:style>
  <w:style w:type="paragraph" w:styleId="CommentText">
    <w:name w:val="annotation text"/>
    <w:basedOn w:val="Normal"/>
    <w:link w:val="CommentTextChar"/>
    <w:uiPriority w:val="99"/>
    <w:unhideWhenUsed/>
    <w:rsid w:val="4091DAC8"/>
    <w:pPr>
      <w:spacing w:line="240" w:lineRule="auto"/>
    </w:pPr>
  </w:style>
  <w:style w:type="character" w:customStyle="1" w:styleId="CommentTextChar">
    <w:name w:val="Comment Text Char"/>
    <w:basedOn w:val="DefaultParagraphFont"/>
    <w:link w:val="CommentText"/>
    <w:uiPriority w:val="99"/>
    <w:rsid w:val="008C0E2D"/>
  </w:style>
  <w:style w:type="paragraph" w:styleId="CommentSubject">
    <w:name w:val="annotation subject"/>
    <w:basedOn w:val="CommentText"/>
    <w:next w:val="CommentText"/>
    <w:link w:val="CommentSubjectChar"/>
    <w:uiPriority w:val="99"/>
    <w:semiHidden/>
    <w:unhideWhenUsed/>
    <w:rsid w:val="008C0E2D"/>
    <w:rPr>
      <w:b/>
      <w:bCs/>
    </w:rPr>
  </w:style>
  <w:style w:type="character" w:customStyle="1" w:styleId="CommentSubjectChar">
    <w:name w:val="Comment Subject Char"/>
    <w:basedOn w:val="CommentTextChar"/>
    <w:link w:val="CommentSubject"/>
    <w:uiPriority w:val="99"/>
    <w:semiHidden/>
    <w:rsid w:val="008C0E2D"/>
    <w:rPr>
      <w:b/>
      <w:bCs/>
    </w:rPr>
  </w:style>
  <w:style w:type="character" w:styleId="FootnoteReference">
    <w:name w:val="footnote reference"/>
    <w:basedOn w:val="DefaultParagraphFont"/>
    <w:uiPriority w:val="99"/>
    <w:unhideWhenUsed/>
    <w:rsid w:val="00B0253D"/>
    <w:rPr>
      <w:vertAlign w:val="superscript"/>
    </w:rPr>
  </w:style>
  <w:style w:type="paragraph" w:styleId="TOCHeading">
    <w:name w:val="TOC Heading"/>
    <w:basedOn w:val="Heading1"/>
    <w:next w:val="Normal"/>
    <w:uiPriority w:val="39"/>
    <w:unhideWhenUsed/>
    <w:qFormat/>
    <w:rsid w:val="00D70A42"/>
    <w:pPr>
      <w:pageBreakBefore w:val="0"/>
      <w:spacing w:before="240" w:after="0" w:line="259" w:lineRule="auto"/>
      <w:outlineLvl w:val="9"/>
    </w:pPr>
    <w:rPr>
      <w:color w:val="4C1B61" w:themeColor="accent1" w:themeShade="BF"/>
      <w:sz w:val="32"/>
      <w:lang w:val="en-US"/>
    </w:rPr>
  </w:style>
  <w:style w:type="paragraph" w:styleId="TOC1">
    <w:name w:val="toc 1"/>
    <w:basedOn w:val="Normal"/>
    <w:next w:val="Normal"/>
    <w:uiPriority w:val="39"/>
    <w:unhideWhenUsed/>
    <w:rsid w:val="4091DAC8"/>
    <w:pPr>
      <w:spacing w:after="100"/>
    </w:pPr>
  </w:style>
  <w:style w:type="paragraph" w:styleId="TOC2">
    <w:name w:val="toc 2"/>
    <w:basedOn w:val="Normal"/>
    <w:next w:val="Normal"/>
    <w:uiPriority w:val="39"/>
    <w:unhideWhenUsed/>
    <w:rsid w:val="4091DAC8"/>
    <w:pPr>
      <w:spacing w:after="100"/>
      <w:ind w:left="200"/>
    </w:pPr>
  </w:style>
  <w:style w:type="paragraph" w:customStyle="1" w:styleId="NPCBulletPoint1">
    <w:name w:val="NPC Bullet Point 1"/>
    <w:qFormat/>
    <w:rsid w:val="00886289"/>
    <w:pPr>
      <w:numPr>
        <w:numId w:val="4"/>
      </w:numPr>
      <w:spacing w:after="80" w:line="280" w:lineRule="exact"/>
    </w:pPr>
    <w:rPr>
      <w:rFonts w:ascii="Arial" w:eastAsia="Calibri" w:hAnsi="Arial" w:cs="Times New Roman"/>
      <w:color w:val="000000" w:themeColor="text1"/>
      <w:sz w:val="18"/>
    </w:rPr>
  </w:style>
  <w:style w:type="paragraph" w:customStyle="1" w:styleId="NPCBulletPoint2">
    <w:name w:val="NPC Bullet Point 2"/>
    <w:qFormat/>
    <w:rsid w:val="00886289"/>
    <w:pPr>
      <w:numPr>
        <w:numId w:val="5"/>
      </w:numPr>
      <w:spacing w:after="80" w:line="280" w:lineRule="exact"/>
    </w:pPr>
    <w:rPr>
      <w:rFonts w:ascii="Arial" w:eastAsia="Calibri" w:hAnsi="Arial" w:cs="Times New Roman"/>
      <w:color w:val="000000" w:themeColor="text1"/>
      <w:sz w:val="18"/>
    </w:rPr>
  </w:style>
  <w:style w:type="paragraph" w:customStyle="1" w:styleId="NPCBodyText">
    <w:name w:val="NPC Body Text"/>
    <w:link w:val="NPCBodyTextChar"/>
    <w:qFormat/>
    <w:rsid w:val="00EE64EC"/>
    <w:pPr>
      <w:spacing w:after="200" w:line="280" w:lineRule="exact"/>
    </w:pPr>
    <w:rPr>
      <w:rFonts w:ascii="Arial" w:eastAsia="Calibri" w:hAnsi="Arial" w:cs="Times New Roman"/>
      <w:color w:val="000000" w:themeColor="text1"/>
      <w:sz w:val="18"/>
    </w:rPr>
  </w:style>
  <w:style w:type="character" w:customStyle="1" w:styleId="NPCBodyTextChar">
    <w:name w:val="NPC Body Text Char"/>
    <w:basedOn w:val="DefaultParagraphFont"/>
    <w:link w:val="NPCBodyText"/>
    <w:rsid w:val="00EE64EC"/>
    <w:rPr>
      <w:rFonts w:ascii="Arial" w:eastAsia="Calibri" w:hAnsi="Arial" w:cs="Times New Roman"/>
      <w:color w:val="000000" w:themeColor="text1"/>
      <w:sz w:val="18"/>
    </w:rPr>
  </w:style>
  <w:style w:type="paragraph" w:customStyle="1" w:styleId="NPCSubHeading4Inline">
    <w:name w:val="NPC SubHeading 4 Inline"/>
    <w:basedOn w:val="NPCBodyText"/>
    <w:next w:val="NPCBodyText"/>
    <w:qFormat/>
    <w:rsid w:val="00546267"/>
    <w:pPr>
      <w:keepNext/>
      <w:ind w:left="284" w:hanging="284"/>
    </w:pPr>
    <w:rPr>
      <w:b/>
      <w:szCs w:val="24"/>
    </w:rPr>
  </w:style>
  <w:style w:type="character" w:customStyle="1" w:styleId="NoSpacingChar">
    <w:name w:val="No Spacing Char"/>
    <w:basedOn w:val="DefaultParagraphFont"/>
    <w:link w:val="NoSpacing"/>
    <w:uiPriority w:val="1"/>
    <w:rsid w:val="00A85D5B"/>
  </w:style>
  <w:style w:type="table" w:styleId="ListTable3-Accent2">
    <w:name w:val="List Table 3 Accent 2"/>
    <w:basedOn w:val="TableNormal"/>
    <w:uiPriority w:val="48"/>
    <w:rsid w:val="00652781"/>
    <w:pPr>
      <w:spacing w:after="0" w:line="240" w:lineRule="auto"/>
    </w:pPr>
    <w:tblPr>
      <w:tblStyleRowBandSize w:val="1"/>
      <w:tblStyleColBandSize w:val="1"/>
      <w:tblBorders>
        <w:top w:val="single" w:sz="4" w:space="0" w:color="F89C1C" w:themeColor="accent2"/>
        <w:left w:val="single" w:sz="4" w:space="0" w:color="F89C1C" w:themeColor="accent2"/>
        <w:bottom w:val="single" w:sz="4" w:space="0" w:color="F89C1C" w:themeColor="accent2"/>
        <w:right w:val="single" w:sz="4" w:space="0" w:color="F89C1C" w:themeColor="accent2"/>
      </w:tblBorders>
    </w:tblPr>
    <w:tblStylePr w:type="firstRow">
      <w:rPr>
        <w:b/>
        <w:bCs/>
        <w:color w:val="FFFFFF" w:themeColor="background1"/>
      </w:rPr>
      <w:tblPr/>
      <w:tcPr>
        <w:shd w:val="clear" w:color="auto" w:fill="F89C1C" w:themeFill="accent2"/>
      </w:tcPr>
    </w:tblStylePr>
    <w:tblStylePr w:type="lastRow">
      <w:rPr>
        <w:b/>
        <w:bCs/>
      </w:rPr>
      <w:tblPr/>
      <w:tcPr>
        <w:tcBorders>
          <w:top w:val="double" w:sz="4" w:space="0" w:color="F89C1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C1C" w:themeColor="accent2"/>
          <w:right w:val="single" w:sz="4" w:space="0" w:color="F89C1C" w:themeColor="accent2"/>
        </w:tcBorders>
      </w:tcPr>
    </w:tblStylePr>
    <w:tblStylePr w:type="band1Horz">
      <w:tblPr/>
      <w:tcPr>
        <w:tcBorders>
          <w:top w:val="single" w:sz="4" w:space="0" w:color="F89C1C" w:themeColor="accent2"/>
          <w:bottom w:val="single" w:sz="4" w:space="0" w:color="F89C1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C1C" w:themeColor="accent2"/>
          <w:left w:val="nil"/>
        </w:tcBorders>
      </w:tcPr>
    </w:tblStylePr>
    <w:tblStylePr w:type="swCell">
      <w:tblPr/>
      <w:tcPr>
        <w:tcBorders>
          <w:top w:val="double" w:sz="4" w:space="0" w:color="F89C1C" w:themeColor="accent2"/>
          <w:right w:val="nil"/>
        </w:tcBorders>
      </w:tcPr>
    </w:tblStylePr>
  </w:style>
  <w:style w:type="table" w:styleId="ListTable3-Accent1">
    <w:name w:val="List Table 3 Accent 1"/>
    <w:basedOn w:val="TableNormal"/>
    <w:uiPriority w:val="48"/>
    <w:rsid w:val="00652781"/>
    <w:pPr>
      <w:spacing w:after="0" w:line="240" w:lineRule="auto"/>
    </w:pPr>
    <w:tblPr>
      <w:tblStyleRowBandSize w:val="1"/>
      <w:tblStyleColBandSize w:val="1"/>
      <w:tblBorders>
        <w:top w:val="single" w:sz="4" w:space="0" w:color="662583" w:themeColor="accent1"/>
        <w:left w:val="single" w:sz="4" w:space="0" w:color="662583" w:themeColor="accent1"/>
        <w:bottom w:val="single" w:sz="4" w:space="0" w:color="662583" w:themeColor="accent1"/>
        <w:right w:val="single" w:sz="4" w:space="0" w:color="662583" w:themeColor="accent1"/>
      </w:tblBorders>
    </w:tblPr>
    <w:tblStylePr w:type="firstRow">
      <w:rPr>
        <w:b/>
        <w:bCs/>
        <w:color w:val="FFFFFF" w:themeColor="background1"/>
      </w:rPr>
      <w:tblPr/>
      <w:tcPr>
        <w:shd w:val="clear" w:color="auto" w:fill="662583" w:themeFill="accent1"/>
      </w:tcPr>
    </w:tblStylePr>
    <w:tblStylePr w:type="lastRow">
      <w:rPr>
        <w:b/>
        <w:bCs/>
      </w:rPr>
      <w:tblPr/>
      <w:tcPr>
        <w:tcBorders>
          <w:top w:val="double" w:sz="4" w:space="0" w:color="66258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2583" w:themeColor="accent1"/>
          <w:right w:val="single" w:sz="4" w:space="0" w:color="662583" w:themeColor="accent1"/>
        </w:tcBorders>
      </w:tcPr>
    </w:tblStylePr>
    <w:tblStylePr w:type="band1Horz">
      <w:tblPr/>
      <w:tcPr>
        <w:tcBorders>
          <w:top w:val="single" w:sz="4" w:space="0" w:color="662583" w:themeColor="accent1"/>
          <w:bottom w:val="single" w:sz="4" w:space="0" w:color="66258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2583" w:themeColor="accent1"/>
          <w:left w:val="nil"/>
        </w:tcBorders>
      </w:tcPr>
    </w:tblStylePr>
    <w:tblStylePr w:type="swCell">
      <w:tblPr/>
      <w:tcPr>
        <w:tcBorders>
          <w:top w:val="double" w:sz="4" w:space="0" w:color="662583" w:themeColor="accent1"/>
          <w:right w:val="nil"/>
        </w:tcBorders>
      </w:tcPr>
    </w:tblStylePr>
  </w:style>
  <w:style w:type="table" w:styleId="ListTable3-Accent3">
    <w:name w:val="List Table 3 Accent 3"/>
    <w:basedOn w:val="TableNormal"/>
    <w:uiPriority w:val="48"/>
    <w:rsid w:val="001B64C0"/>
    <w:pPr>
      <w:spacing w:after="0" w:line="240" w:lineRule="auto"/>
    </w:pPr>
    <w:tblPr>
      <w:tblStyleRowBandSize w:val="1"/>
      <w:tblStyleColBandSize w:val="1"/>
      <w:tblBorders>
        <w:top w:val="single" w:sz="4" w:space="0" w:color="EC0080" w:themeColor="accent3"/>
        <w:left w:val="single" w:sz="4" w:space="0" w:color="EC0080" w:themeColor="accent3"/>
        <w:bottom w:val="single" w:sz="4" w:space="0" w:color="EC0080" w:themeColor="accent3"/>
        <w:right w:val="single" w:sz="4" w:space="0" w:color="EC0080" w:themeColor="accent3"/>
      </w:tblBorders>
    </w:tblPr>
    <w:tblStylePr w:type="firstRow">
      <w:rPr>
        <w:b/>
        <w:bCs/>
        <w:color w:val="FFFFFF" w:themeColor="background1"/>
      </w:rPr>
      <w:tblPr/>
      <w:tcPr>
        <w:shd w:val="clear" w:color="auto" w:fill="EC0080" w:themeFill="accent3"/>
      </w:tcPr>
    </w:tblStylePr>
    <w:tblStylePr w:type="lastRow">
      <w:rPr>
        <w:b/>
        <w:bCs/>
      </w:rPr>
      <w:tblPr/>
      <w:tcPr>
        <w:tcBorders>
          <w:top w:val="double" w:sz="4" w:space="0" w:color="EC00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0080" w:themeColor="accent3"/>
          <w:right w:val="single" w:sz="4" w:space="0" w:color="EC0080" w:themeColor="accent3"/>
        </w:tcBorders>
      </w:tcPr>
    </w:tblStylePr>
    <w:tblStylePr w:type="band1Horz">
      <w:tblPr/>
      <w:tcPr>
        <w:tcBorders>
          <w:top w:val="single" w:sz="4" w:space="0" w:color="EC0080" w:themeColor="accent3"/>
          <w:bottom w:val="single" w:sz="4" w:space="0" w:color="EC00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0080" w:themeColor="accent3"/>
          <w:left w:val="nil"/>
        </w:tcBorders>
      </w:tcPr>
    </w:tblStylePr>
    <w:tblStylePr w:type="swCell">
      <w:tblPr/>
      <w:tcPr>
        <w:tcBorders>
          <w:top w:val="double" w:sz="4" w:space="0" w:color="EC0080" w:themeColor="accent3"/>
          <w:right w:val="nil"/>
        </w:tcBorders>
      </w:tcPr>
    </w:tblStylePr>
  </w:style>
  <w:style w:type="table" w:styleId="ListTable3-Accent4">
    <w:name w:val="List Table 3 Accent 4"/>
    <w:basedOn w:val="TableNormal"/>
    <w:uiPriority w:val="48"/>
    <w:rsid w:val="001B64C0"/>
    <w:pPr>
      <w:spacing w:after="0" w:line="240" w:lineRule="auto"/>
    </w:pPr>
    <w:tblPr>
      <w:tblStyleRowBandSize w:val="1"/>
      <w:tblStyleColBandSize w:val="1"/>
      <w:tblBorders>
        <w:top w:val="single" w:sz="4" w:space="0" w:color="FFCA05" w:themeColor="accent4"/>
        <w:left w:val="single" w:sz="4" w:space="0" w:color="FFCA05" w:themeColor="accent4"/>
        <w:bottom w:val="single" w:sz="4" w:space="0" w:color="FFCA05" w:themeColor="accent4"/>
        <w:right w:val="single" w:sz="4" w:space="0" w:color="FFCA05" w:themeColor="accent4"/>
      </w:tblBorders>
    </w:tblPr>
    <w:tblStylePr w:type="firstRow">
      <w:rPr>
        <w:b/>
        <w:bCs/>
        <w:color w:val="FFFFFF" w:themeColor="background1"/>
      </w:rPr>
      <w:tblPr/>
      <w:tcPr>
        <w:shd w:val="clear" w:color="auto" w:fill="FFCA05" w:themeFill="accent4"/>
      </w:tcPr>
    </w:tblStylePr>
    <w:tblStylePr w:type="lastRow">
      <w:rPr>
        <w:b/>
        <w:bCs/>
      </w:rPr>
      <w:tblPr/>
      <w:tcPr>
        <w:tcBorders>
          <w:top w:val="double" w:sz="4" w:space="0" w:color="FFCA05"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A05" w:themeColor="accent4"/>
          <w:right w:val="single" w:sz="4" w:space="0" w:color="FFCA05" w:themeColor="accent4"/>
        </w:tcBorders>
      </w:tcPr>
    </w:tblStylePr>
    <w:tblStylePr w:type="band1Horz">
      <w:tblPr/>
      <w:tcPr>
        <w:tcBorders>
          <w:top w:val="single" w:sz="4" w:space="0" w:color="FFCA05" w:themeColor="accent4"/>
          <w:bottom w:val="single" w:sz="4" w:space="0" w:color="FFCA05"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A05" w:themeColor="accent4"/>
          <w:left w:val="nil"/>
        </w:tcBorders>
      </w:tcPr>
    </w:tblStylePr>
    <w:tblStylePr w:type="swCell">
      <w:tblPr/>
      <w:tcPr>
        <w:tcBorders>
          <w:top w:val="double" w:sz="4" w:space="0" w:color="FFCA05" w:themeColor="accent4"/>
          <w:right w:val="nil"/>
        </w:tcBorders>
      </w:tcPr>
    </w:tblStylePr>
  </w:style>
  <w:style w:type="table" w:styleId="ListTable3-Accent5">
    <w:name w:val="List Table 3 Accent 5"/>
    <w:basedOn w:val="TableNormal"/>
    <w:uiPriority w:val="48"/>
    <w:rsid w:val="001B64C0"/>
    <w:pPr>
      <w:spacing w:after="0" w:line="240" w:lineRule="auto"/>
    </w:pPr>
    <w:tblPr>
      <w:tblStyleRowBandSize w:val="1"/>
      <w:tblStyleColBandSize w:val="1"/>
      <w:tblBorders>
        <w:top w:val="single" w:sz="4" w:space="0" w:color="881866" w:themeColor="accent5"/>
        <w:left w:val="single" w:sz="4" w:space="0" w:color="881866" w:themeColor="accent5"/>
        <w:bottom w:val="single" w:sz="4" w:space="0" w:color="881866" w:themeColor="accent5"/>
        <w:right w:val="single" w:sz="4" w:space="0" w:color="881866" w:themeColor="accent5"/>
      </w:tblBorders>
    </w:tblPr>
    <w:tblStylePr w:type="firstRow">
      <w:rPr>
        <w:b/>
        <w:bCs/>
        <w:color w:val="FFFFFF" w:themeColor="background1"/>
      </w:rPr>
      <w:tblPr/>
      <w:tcPr>
        <w:shd w:val="clear" w:color="auto" w:fill="881866" w:themeFill="accent5"/>
      </w:tcPr>
    </w:tblStylePr>
    <w:tblStylePr w:type="lastRow">
      <w:rPr>
        <w:b/>
        <w:bCs/>
      </w:rPr>
      <w:tblPr/>
      <w:tcPr>
        <w:tcBorders>
          <w:top w:val="double" w:sz="4" w:space="0" w:color="88186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81866" w:themeColor="accent5"/>
          <w:right w:val="single" w:sz="4" w:space="0" w:color="881866" w:themeColor="accent5"/>
        </w:tcBorders>
      </w:tcPr>
    </w:tblStylePr>
    <w:tblStylePr w:type="band1Horz">
      <w:tblPr/>
      <w:tcPr>
        <w:tcBorders>
          <w:top w:val="single" w:sz="4" w:space="0" w:color="881866" w:themeColor="accent5"/>
          <w:bottom w:val="single" w:sz="4" w:space="0" w:color="8818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81866" w:themeColor="accent5"/>
          <w:left w:val="nil"/>
        </w:tcBorders>
      </w:tcPr>
    </w:tblStylePr>
    <w:tblStylePr w:type="swCell">
      <w:tblPr/>
      <w:tcPr>
        <w:tcBorders>
          <w:top w:val="double" w:sz="4" w:space="0" w:color="881866" w:themeColor="accent5"/>
          <w:right w:val="nil"/>
        </w:tcBorders>
      </w:tcPr>
    </w:tblStylePr>
  </w:style>
  <w:style w:type="table" w:styleId="ListTable3-Accent6">
    <w:name w:val="List Table 3 Accent 6"/>
    <w:basedOn w:val="TableNormal"/>
    <w:uiPriority w:val="48"/>
    <w:rsid w:val="001B64C0"/>
    <w:pPr>
      <w:spacing w:after="0" w:line="240" w:lineRule="auto"/>
    </w:pPr>
    <w:tblPr>
      <w:tblStyleRowBandSize w:val="1"/>
      <w:tblStyleColBandSize w:val="1"/>
      <w:tblBorders>
        <w:top w:val="single" w:sz="4" w:space="0" w:color="F26F21" w:themeColor="accent6"/>
        <w:left w:val="single" w:sz="4" w:space="0" w:color="F26F21" w:themeColor="accent6"/>
        <w:bottom w:val="single" w:sz="4" w:space="0" w:color="F26F21" w:themeColor="accent6"/>
        <w:right w:val="single" w:sz="4" w:space="0" w:color="F26F21" w:themeColor="accent6"/>
      </w:tblBorders>
    </w:tblPr>
    <w:tblStylePr w:type="firstRow">
      <w:rPr>
        <w:b/>
        <w:bCs/>
        <w:color w:val="FFFFFF" w:themeColor="background1"/>
      </w:rPr>
      <w:tblPr/>
      <w:tcPr>
        <w:shd w:val="clear" w:color="auto" w:fill="F26F21" w:themeFill="accent6"/>
      </w:tcPr>
    </w:tblStylePr>
    <w:tblStylePr w:type="lastRow">
      <w:rPr>
        <w:b/>
        <w:bCs/>
      </w:rPr>
      <w:tblPr/>
      <w:tcPr>
        <w:tcBorders>
          <w:top w:val="double" w:sz="4" w:space="0" w:color="F26F2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6F21" w:themeColor="accent6"/>
          <w:right w:val="single" w:sz="4" w:space="0" w:color="F26F21" w:themeColor="accent6"/>
        </w:tcBorders>
      </w:tcPr>
    </w:tblStylePr>
    <w:tblStylePr w:type="band1Horz">
      <w:tblPr/>
      <w:tcPr>
        <w:tcBorders>
          <w:top w:val="single" w:sz="4" w:space="0" w:color="F26F21" w:themeColor="accent6"/>
          <w:bottom w:val="single" w:sz="4" w:space="0" w:color="F26F2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6F21" w:themeColor="accent6"/>
          <w:left w:val="nil"/>
        </w:tcBorders>
      </w:tcPr>
    </w:tblStylePr>
    <w:tblStylePr w:type="swCell">
      <w:tblPr/>
      <w:tcPr>
        <w:tcBorders>
          <w:top w:val="double" w:sz="4" w:space="0" w:color="F26F21" w:themeColor="accent6"/>
          <w:right w:val="nil"/>
        </w:tcBorders>
      </w:tcPr>
    </w:tblStylePr>
  </w:style>
  <w:style w:type="paragraph" w:customStyle="1" w:styleId="paragraph">
    <w:name w:val="paragraph"/>
    <w:basedOn w:val="Normal"/>
    <w:uiPriority w:val="1"/>
    <w:rsid w:val="4091DAC8"/>
    <w:pPr>
      <w:spacing w:beforeAutospacing="1"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A3218"/>
  </w:style>
  <w:style w:type="character" w:customStyle="1" w:styleId="eop">
    <w:name w:val="eop"/>
    <w:basedOn w:val="DefaultParagraphFont"/>
    <w:rsid w:val="001A3218"/>
  </w:style>
  <w:style w:type="character" w:customStyle="1" w:styleId="scxw107373188">
    <w:name w:val="scxw107373188"/>
    <w:basedOn w:val="DefaultParagraphFont"/>
    <w:rsid w:val="001A3218"/>
  </w:style>
  <w:style w:type="character" w:customStyle="1" w:styleId="superscript">
    <w:name w:val="superscript"/>
    <w:basedOn w:val="DefaultParagraphFont"/>
    <w:rsid w:val="001A3218"/>
  </w:style>
  <w:style w:type="paragraph" w:styleId="NormalWeb">
    <w:name w:val="Normal (Web)"/>
    <w:basedOn w:val="Normal"/>
    <w:uiPriority w:val="99"/>
    <w:semiHidden/>
    <w:unhideWhenUsed/>
    <w:rsid w:val="4091DAC8"/>
    <w:pPr>
      <w:spacing w:beforeAutospacing="1"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77B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ndnoteReference">
    <w:name w:val="endnote reference"/>
    <w:basedOn w:val="DefaultParagraphFont"/>
    <w:uiPriority w:val="99"/>
    <w:semiHidden/>
    <w:unhideWhenUsed/>
    <w:rsid w:val="009D1CFF"/>
    <w:rPr>
      <w:vertAlign w:val="superscript"/>
    </w:rPr>
  </w:style>
  <w:style w:type="paragraph" w:customStyle="1" w:styleId="TEST">
    <w:name w:val="TEST"/>
    <w:basedOn w:val="NPCBodyText"/>
    <w:rsid w:val="00B10D6C"/>
    <w:rPr>
      <w:caps/>
    </w:rPr>
  </w:style>
  <w:style w:type="character" w:customStyle="1" w:styleId="font71">
    <w:name w:val="font71"/>
    <w:basedOn w:val="DefaultParagraphFont"/>
    <w:rsid w:val="002903CE"/>
    <w:rPr>
      <w:rFonts w:ascii="Arial" w:hAnsi="Arial" w:cs="Arial" w:hint="default"/>
      <w:b w:val="0"/>
      <w:bCs w:val="0"/>
      <w:i w:val="0"/>
      <w:iCs w:val="0"/>
      <w:strike w:val="0"/>
      <w:dstrike w:val="0"/>
      <w:color w:val="000000"/>
      <w:sz w:val="18"/>
      <w:szCs w:val="18"/>
      <w:u w:val="none"/>
      <w:effect w:val="none"/>
    </w:rPr>
  </w:style>
  <w:style w:type="character" w:customStyle="1" w:styleId="font251">
    <w:name w:val="font251"/>
    <w:basedOn w:val="DefaultParagraphFont"/>
    <w:rsid w:val="002903CE"/>
    <w:rPr>
      <w:rFonts w:ascii="Arial" w:hAnsi="Arial" w:cs="Arial" w:hint="default"/>
      <w:b w:val="0"/>
      <w:bCs w:val="0"/>
      <w:i/>
      <w:iCs/>
      <w:strike w:val="0"/>
      <w:dstrike w:val="0"/>
      <w:color w:val="000000"/>
      <w:sz w:val="18"/>
      <w:szCs w:val="18"/>
      <w:u w:val="none"/>
      <w:effect w:val="none"/>
    </w:rPr>
  </w:style>
  <w:style w:type="paragraph" w:styleId="TOC3">
    <w:name w:val="toc 3"/>
    <w:basedOn w:val="Normal"/>
    <w:next w:val="Normal"/>
    <w:uiPriority w:val="39"/>
    <w:unhideWhenUsed/>
    <w:rsid w:val="4091DAC8"/>
    <w:pPr>
      <w:spacing w:after="100"/>
      <w:ind w:left="440"/>
    </w:pPr>
  </w:style>
  <w:style w:type="paragraph" w:styleId="TOC4">
    <w:name w:val="toc 4"/>
    <w:basedOn w:val="Normal"/>
    <w:next w:val="Normal"/>
    <w:uiPriority w:val="39"/>
    <w:unhideWhenUsed/>
    <w:rsid w:val="4091DAC8"/>
    <w:pPr>
      <w:spacing w:after="100"/>
      <w:ind w:left="660"/>
    </w:pPr>
  </w:style>
  <w:style w:type="paragraph" w:styleId="TOC5">
    <w:name w:val="toc 5"/>
    <w:basedOn w:val="Normal"/>
    <w:next w:val="Normal"/>
    <w:uiPriority w:val="39"/>
    <w:unhideWhenUsed/>
    <w:rsid w:val="4091DAC8"/>
    <w:pPr>
      <w:spacing w:after="100"/>
      <w:ind w:left="880"/>
    </w:pPr>
  </w:style>
  <w:style w:type="paragraph" w:styleId="TOC6">
    <w:name w:val="toc 6"/>
    <w:basedOn w:val="Normal"/>
    <w:next w:val="Normal"/>
    <w:uiPriority w:val="39"/>
    <w:unhideWhenUsed/>
    <w:rsid w:val="4091DAC8"/>
    <w:pPr>
      <w:spacing w:after="100"/>
      <w:ind w:left="1100"/>
    </w:pPr>
  </w:style>
  <w:style w:type="paragraph" w:styleId="TOC7">
    <w:name w:val="toc 7"/>
    <w:basedOn w:val="Normal"/>
    <w:next w:val="Normal"/>
    <w:uiPriority w:val="39"/>
    <w:unhideWhenUsed/>
    <w:rsid w:val="4091DAC8"/>
    <w:pPr>
      <w:spacing w:after="100"/>
      <w:ind w:left="1320"/>
    </w:pPr>
  </w:style>
  <w:style w:type="paragraph" w:styleId="TOC8">
    <w:name w:val="toc 8"/>
    <w:basedOn w:val="Normal"/>
    <w:next w:val="Normal"/>
    <w:uiPriority w:val="39"/>
    <w:unhideWhenUsed/>
    <w:rsid w:val="4091DAC8"/>
    <w:pPr>
      <w:spacing w:after="100"/>
      <w:ind w:left="1540"/>
    </w:pPr>
  </w:style>
  <w:style w:type="paragraph" w:styleId="TOC9">
    <w:name w:val="toc 9"/>
    <w:basedOn w:val="Normal"/>
    <w:next w:val="Normal"/>
    <w:uiPriority w:val="39"/>
    <w:unhideWhenUsed/>
    <w:rsid w:val="4091DAC8"/>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20162">
      <w:bodyDiv w:val="1"/>
      <w:marLeft w:val="0"/>
      <w:marRight w:val="0"/>
      <w:marTop w:val="0"/>
      <w:marBottom w:val="0"/>
      <w:divBdr>
        <w:top w:val="none" w:sz="0" w:space="0" w:color="auto"/>
        <w:left w:val="none" w:sz="0" w:space="0" w:color="auto"/>
        <w:bottom w:val="none" w:sz="0" w:space="0" w:color="auto"/>
        <w:right w:val="none" w:sz="0" w:space="0" w:color="auto"/>
      </w:divBdr>
    </w:div>
    <w:div w:id="331763205">
      <w:bodyDiv w:val="1"/>
      <w:marLeft w:val="0"/>
      <w:marRight w:val="0"/>
      <w:marTop w:val="0"/>
      <w:marBottom w:val="0"/>
      <w:divBdr>
        <w:top w:val="none" w:sz="0" w:space="0" w:color="auto"/>
        <w:left w:val="none" w:sz="0" w:space="0" w:color="auto"/>
        <w:bottom w:val="none" w:sz="0" w:space="0" w:color="auto"/>
        <w:right w:val="none" w:sz="0" w:space="0" w:color="auto"/>
      </w:divBdr>
      <w:divsChild>
        <w:div w:id="1042367843">
          <w:marLeft w:val="547"/>
          <w:marRight w:val="0"/>
          <w:marTop w:val="0"/>
          <w:marBottom w:val="0"/>
          <w:divBdr>
            <w:top w:val="none" w:sz="0" w:space="0" w:color="auto"/>
            <w:left w:val="none" w:sz="0" w:space="0" w:color="auto"/>
            <w:bottom w:val="none" w:sz="0" w:space="0" w:color="auto"/>
            <w:right w:val="none" w:sz="0" w:space="0" w:color="auto"/>
          </w:divBdr>
        </w:div>
      </w:divsChild>
    </w:div>
    <w:div w:id="624391140">
      <w:bodyDiv w:val="1"/>
      <w:marLeft w:val="0"/>
      <w:marRight w:val="0"/>
      <w:marTop w:val="0"/>
      <w:marBottom w:val="0"/>
      <w:divBdr>
        <w:top w:val="none" w:sz="0" w:space="0" w:color="auto"/>
        <w:left w:val="none" w:sz="0" w:space="0" w:color="auto"/>
        <w:bottom w:val="none" w:sz="0" w:space="0" w:color="auto"/>
        <w:right w:val="none" w:sz="0" w:space="0" w:color="auto"/>
      </w:divBdr>
    </w:div>
    <w:div w:id="732895398">
      <w:bodyDiv w:val="1"/>
      <w:marLeft w:val="0"/>
      <w:marRight w:val="0"/>
      <w:marTop w:val="0"/>
      <w:marBottom w:val="0"/>
      <w:divBdr>
        <w:top w:val="none" w:sz="0" w:space="0" w:color="auto"/>
        <w:left w:val="none" w:sz="0" w:space="0" w:color="auto"/>
        <w:bottom w:val="none" w:sz="0" w:space="0" w:color="auto"/>
        <w:right w:val="none" w:sz="0" w:space="0" w:color="auto"/>
      </w:divBdr>
      <w:divsChild>
        <w:div w:id="1001010440">
          <w:marLeft w:val="547"/>
          <w:marRight w:val="0"/>
          <w:marTop w:val="0"/>
          <w:marBottom w:val="0"/>
          <w:divBdr>
            <w:top w:val="none" w:sz="0" w:space="0" w:color="auto"/>
            <w:left w:val="none" w:sz="0" w:space="0" w:color="auto"/>
            <w:bottom w:val="none" w:sz="0" w:space="0" w:color="auto"/>
            <w:right w:val="none" w:sz="0" w:space="0" w:color="auto"/>
          </w:divBdr>
        </w:div>
        <w:div w:id="458493891">
          <w:marLeft w:val="547"/>
          <w:marRight w:val="0"/>
          <w:marTop w:val="0"/>
          <w:marBottom w:val="0"/>
          <w:divBdr>
            <w:top w:val="none" w:sz="0" w:space="0" w:color="auto"/>
            <w:left w:val="none" w:sz="0" w:space="0" w:color="auto"/>
            <w:bottom w:val="none" w:sz="0" w:space="0" w:color="auto"/>
            <w:right w:val="none" w:sz="0" w:space="0" w:color="auto"/>
          </w:divBdr>
        </w:div>
      </w:divsChild>
    </w:div>
    <w:div w:id="777985130">
      <w:bodyDiv w:val="1"/>
      <w:marLeft w:val="0"/>
      <w:marRight w:val="0"/>
      <w:marTop w:val="0"/>
      <w:marBottom w:val="0"/>
      <w:divBdr>
        <w:top w:val="none" w:sz="0" w:space="0" w:color="auto"/>
        <w:left w:val="none" w:sz="0" w:space="0" w:color="auto"/>
        <w:bottom w:val="none" w:sz="0" w:space="0" w:color="auto"/>
        <w:right w:val="none" w:sz="0" w:space="0" w:color="auto"/>
      </w:divBdr>
      <w:divsChild>
        <w:div w:id="1372992757">
          <w:marLeft w:val="0"/>
          <w:marRight w:val="0"/>
          <w:marTop w:val="0"/>
          <w:marBottom w:val="0"/>
          <w:divBdr>
            <w:top w:val="none" w:sz="0" w:space="0" w:color="auto"/>
            <w:left w:val="none" w:sz="0" w:space="0" w:color="auto"/>
            <w:bottom w:val="none" w:sz="0" w:space="0" w:color="auto"/>
            <w:right w:val="none" w:sz="0" w:space="0" w:color="auto"/>
          </w:divBdr>
        </w:div>
      </w:divsChild>
    </w:div>
    <w:div w:id="816722864">
      <w:bodyDiv w:val="1"/>
      <w:marLeft w:val="0"/>
      <w:marRight w:val="0"/>
      <w:marTop w:val="0"/>
      <w:marBottom w:val="0"/>
      <w:divBdr>
        <w:top w:val="none" w:sz="0" w:space="0" w:color="auto"/>
        <w:left w:val="none" w:sz="0" w:space="0" w:color="auto"/>
        <w:bottom w:val="none" w:sz="0" w:space="0" w:color="auto"/>
        <w:right w:val="none" w:sz="0" w:space="0" w:color="auto"/>
      </w:divBdr>
      <w:divsChild>
        <w:div w:id="1731804152">
          <w:marLeft w:val="547"/>
          <w:marRight w:val="0"/>
          <w:marTop w:val="0"/>
          <w:marBottom w:val="0"/>
          <w:divBdr>
            <w:top w:val="none" w:sz="0" w:space="0" w:color="auto"/>
            <w:left w:val="none" w:sz="0" w:space="0" w:color="auto"/>
            <w:bottom w:val="none" w:sz="0" w:space="0" w:color="auto"/>
            <w:right w:val="none" w:sz="0" w:space="0" w:color="auto"/>
          </w:divBdr>
        </w:div>
      </w:divsChild>
    </w:div>
    <w:div w:id="899824732">
      <w:bodyDiv w:val="1"/>
      <w:marLeft w:val="0"/>
      <w:marRight w:val="0"/>
      <w:marTop w:val="0"/>
      <w:marBottom w:val="0"/>
      <w:divBdr>
        <w:top w:val="none" w:sz="0" w:space="0" w:color="auto"/>
        <w:left w:val="none" w:sz="0" w:space="0" w:color="auto"/>
        <w:bottom w:val="none" w:sz="0" w:space="0" w:color="auto"/>
        <w:right w:val="none" w:sz="0" w:space="0" w:color="auto"/>
      </w:divBdr>
      <w:divsChild>
        <w:div w:id="1633824336">
          <w:marLeft w:val="547"/>
          <w:marRight w:val="0"/>
          <w:marTop w:val="0"/>
          <w:marBottom w:val="0"/>
          <w:divBdr>
            <w:top w:val="none" w:sz="0" w:space="0" w:color="auto"/>
            <w:left w:val="none" w:sz="0" w:space="0" w:color="auto"/>
            <w:bottom w:val="none" w:sz="0" w:space="0" w:color="auto"/>
            <w:right w:val="none" w:sz="0" w:space="0" w:color="auto"/>
          </w:divBdr>
        </w:div>
      </w:divsChild>
    </w:div>
    <w:div w:id="913123896">
      <w:bodyDiv w:val="1"/>
      <w:marLeft w:val="0"/>
      <w:marRight w:val="0"/>
      <w:marTop w:val="0"/>
      <w:marBottom w:val="0"/>
      <w:divBdr>
        <w:top w:val="none" w:sz="0" w:space="0" w:color="auto"/>
        <w:left w:val="none" w:sz="0" w:space="0" w:color="auto"/>
        <w:bottom w:val="none" w:sz="0" w:space="0" w:color="auto"/>
        <w:right w:val="none" w:sz="0" w:space="0" w:color="auto"/>
      </w:divBdr>
      <w:divsChild>
        <w:div w:id="1379622555">
          <w:marLeft w:val="547"/>
          <w:marRight w:val="0"/>
          <w:marTop w:val="0"/>
          <w:marBottom w:val="0"/>
          <w:divBdr>
            <w:top w:val="none" w:sz="0" w:space="0" w:color="auto"/>
            <w:left w:val="none" w:sz="0" w:space="0" w:color="auto"/>
            <w:bottom w:val="none" w:sz="0" w:space="0" w:color="auto"/>
            <w:right w:val="none" w:sz="0" w:space="0" w:color="auto"/>
          </w:divBdr>
        </w:div>
        <w:div w:id="922571896">
          <w:marLeft w:val="547"/>
          <w:marRight w:val="0"/>
          <w:marTop w:val="0"/>
          <w:marBottom w:val="0"/>
          <w:divBdr>
            <w:top w:val="none" w:sz="0" w:space="0" w:color="auto"/>
            <w:left w:val="none" w:sz="0" w:space="0" w:color="auto"/>
            <w:bottom w:val="none" w:sz="0" w:space="0" w:color="auto"/>
            <w:right w:val="none" w:sz="0" w:space="0" w:color="auto"/>
          </w:divBdr>
        </w:div>
        <w:div w:id="488137244">
          <w:marLeft w:val="547"/>
          <w:marRight w:val="0"/>
          <w:marTop w:val="0"/>
          <w:marBottom w:val="0"/>
          <w:divBdr>
            <w:top w:val="none" w:sz="0" w:space="0" w:color="auto"/>
            <w:left w:val="none" w:sz="0" w:space="0" w:color="auto"/>
            <w:bottom w:val="none" w:sz="0" w:space="0" w:color="auto"/>
            <w:right w:val="none" w:sz="0" w:space="0" w:color="auto"/>
          </w:divBdr>
        </w:div>
        <w:div w:id="1166243156">
          <w:marLeft w:val="547"/>
          <w:marRight w:val="0"/>
          <w:marTop w:val="0"/>
          <w:marBottom w:val="0"/>
          <w:divBdr>
            <w:top w:val="none" w:sz="0" w:space="0" w:color="auto"/>
            <w:left w:val="none" w:sz="0" w:space="0" w:color="auto"/>
            <w:bottom w:val="none" w:sz="0" w:space="0" w:color="auto"/>
            <w:right w:val="none" w:sz="0" w:space="0" w:color="auto"/>
          </w:divBdr>
        </w:div>
        <w:div w:id="428426513">
          <w:marLeft w:val="547"/>
          <w:marRight w:val="0"/>
          <w:marTop w:val="0"/>
          <w:marBottom w:val="0"/>
          <w:divBdr>
            <w:top w:val="none" w:sz="0" w:space="0" w:color="auto"/>
            <w:left w:val="none" w:sz="0" w:space="0" w:color="auto"/>
            <w:bottom w:val="none" w:sz="0" w:space="0" w:color="auto"/>
            <w:right w:val="none" w:sz="0" w:space="0" w:color="auto"/>
          </w:divBdr>
        </w:div>
      </w:divsChild>
    </w:div>
    <w:div w:id="1152867942">
      <w:bodyDiv w:val="1"/>
      <w:marLeft w:val="0"/>
      <w:marRight w:val="0"/>
      <w:marTop w:val="0"/>
      <w:marBottom w:val="0"/>
      <w:divBdr>
        <w:top w:val="none" w:sz="0" w:space="0" w:color="auto"/>
        <w:left w:val="none" w:sz="0" w:space="0" w:color="auto"/>
        <w:bottom w:val="none" w:sz="0" w:space="0" w:color="auto"/>
        <w:right w:val="none" w:sz="0" w:space="0" w:color="auto"/>
      </w:divBdr>
      <w:divsChild>
        <w:div w:id="478772174">
          <w:marLeft w:val="0"/>
          <w:marRight w:val="0"/>
          <w:marTop w:val="0"/>
          <w:marBottom w:val="0"/>
          <w:divBdr>
            <w:top w:val="none" w:sz="0" w:space="0" w:color="auto"/>
            <w:left w:val="none" w:sz="0" w:space="0" w:color="auto"/>
            <w:bottom w:val="none" w:sz="0" w:space="0" w:color="auto"/>
            <w:right w:val="none" w:sz="0" w:space="0" w:color="auto"/>
          </w:divBdr>
          <w:divsChild>
            <w:div w:id="88355496">
              <w:marLeft w:val="0"/>
              <w:marRight w:val="0"/>
              <w:marTop w:val="0"/>
              <w:marBottom w:val="0"/>
              <w:divBdr>
                <w:top w:val="none" w:sz="0" w:space="0" w:color="auto"/>
                <w:left w:val="none" w:sz="0" w:space="0" w:color="auto"/>
                <w:bottom w:val="none" w:sz="0" w:space="0" w:color="auto"/>
                <w:right w:val="none" w:sz="0" w:space="0" w:color="auto"/>
              </w:divBdr>
            </w:div>
            <w:div w:id="938030521">
              <w:marLeft w:val="0"/>
              <w:marRight w:val="0"/>
              <w:marTop w:val="0"/>
              <w:marBottom w:val="0"/>
              <w:divBdr>
                <w:top w:val="none" w:sz="0" w:space="0" w:color="auto"/>
                <w:left w:val="none" w:sz="0" w:space="0" w:color="auto"/>
                <w:bottom w:val="none" w:sz="0" w:space="0" w:color="auto"/>
                <w:right w:val="none" w:sz="0" w:space="0" w:color="auto"/>
              </w:divBdr>
            </w:div>
            <w:div w:id="1658026694">
              <w:marLeft w:val="0"/>
              <w:marRight w:val="0"/>
              <w:marTop w:val="0"/>
              <w:marBottom w:val="0"/>
              <w:divBdr>
                <w:top w:val="none" w:sz="0" w:space="0" w:color="auto"/>
                <w:left w:val="none" w:sz="0" w:space="0" w:color="auto"/>
                <w:bottom w:val="none" w:sz="0" w:space="0" w:color="auto"/>
                <w:right w:val="none" w:sz="0" w:space="0" w:color="auto"/>
              </w:divBdr>
            </w:div>
          </w:divsChild>
        </w:div>
        <w:div w:id="800728997">
          <w:marLeft w:val="0"/>
          <w:marRight w:val="0"/>
          <w:marTop w:val="0"/>
          <w:marBottom w:val="0"/>
          <w:divBdr>
            <w:top w:val="none" w:sz="0" w:space="0" w:color="auto"/>
            <w:left w:val="none" w:sz="0" w:space="0" w:color="auto"/>
            <w:bottom w:val="none" w:sz="0" w:space="0" w:color="auto"/>
            <w:right w:val="none" w:sz="0" w:space="0" w:color="auto"/>
          </w:divBdr>
          <w:divsChild>
            <w:div w:id="1651250045">
              <w:marLeft w:val="0"/>
              <w:marRight w:val="0"/>
              <w:marTop w:val="0"/>
              <w:marBottom w:val="0"/>
              <w:divBdr>
                <w:top w:val="none" w:sz="0" w:space="0" w:color="auto"/>
                <w:left w:val="none" w:sz="0" w:space="0" w:color="auto"/>
                <w:bottom w:val="none" w:sz="0" w:space="0" w:color="auto"/>
                <w:right w:val="none" w:sz="0" w:space="0" w:color="auto"/>
              </w:divBdr>
            </w:div>
            <w:div w:id="1788816229">
              <w:marLeft w:val="0"/>
              <w:marRight w:val="0"/>
              <w:marTop w:val="0"/>
              <w:marBottom w:val="0"/>
              <w:divBdr>
                <w:top w:val="none" w:sz="0" w:space="0" w:color="auto"/>
                <w:left w:val="none" w:sz="0" w:space="0" w:color="auto"/>
                <w:bottom w:val="none" w:sz="0" w:space="0" w:color="auto"/>
                <w:right w:val="none" w:sz="0" w:space="0" w:color="auto"/>
              </w:divBdr>
            </w:div>
          </w:divsChild>
        </w:div>
        <w:div w:id="1042822917">
          <w:marLeft w:val="0"/>
          <w:marRight w:val="0"/>
          <w:marTop w:val="0"/>
          <w:marBottom w:val="0"/>
          <w:divBdr>
            <w:top w:val="none" w:sz="0" w:space="0" w:color="auto"/>
            <w:left w:val="none" w:sz="0" w:space="0" w:color="auto"/>
            <w:bottom w:val="none" w:sz="0" w:space="0" w:color="auto"/>
            <w:right w:val="none" w:sz="0" w:space="0" w:color="auto"/>
          </w:divBdr>
          <w:divsChild>
            <w:div w:id="18523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56963">
      <w:bodyDiv w:val="1"/>
      <w:marLeft w:val="0"/>
      <w:marRight w:val="0"/>
      <w:marTop w:val="0"/>
      <w:marBottom w:val="0"/>
      <w:divBdr>
        <w:top w:val="none" w:sz="0" w:space="0" w:color="auto"/>
        <w:left w:val="none" w:sz="0" w:space="0" w:color="auto"/>
        <w:bottom w:val="none" w:sz="0" w:space="0" w:color="auto"/>
        <w:right w:val="none" w:sz="0" w:space="0" w:color="auto"/>
      </w:divBdr>
      <w:divsChild>
        <w:div w:id="96340582">
          <w:marLeft w:val="547"/>
          <w:marRight w:val="0"/>
          <w:marTop w:val="0"/>
          <w:marBottom w:val="0"/>
          <w:divBdr>
            <w:top w:val="none" w:sz="0" w:space="0" w:color="auto"/>
            <w:left w:val="none" w:sz="0" w:space="0" w:color="auto"/>
            <w:bottom w:val="none" w:sz="0" w:space="0" w:color="auto"/>
            <w:right w:val="none" w:sz="0" w:space="0" w:color="auto"/>
          </w:divBdr>
        </w:div>
        <w:div w:id="532309628">
          <w:marLeft w:val="547"/>
          <w:marRight w:val="0"/>
          <w:marTop w:val="0"/>
          <w:marBottom w:val="0"/>
          <w:divBdr>
            <w:top w:val="none" w:sz="0" w:space="0" w:color="auto"/>
            <w:left w:val="none" w:sz="0" w:space="0" w:color="auto"/>
            <w:bottom w:val="none" w:sz="0" w:space="0" w:color="auto"/>
            <w:right w:val="none" w:sz="0" w:space="0" w:color="auto"/>
          </w:divBdr>
        </w:div>
        <w:div w:id="435254997">
          <w:marLeft w:val="547"/>
          <w:marRight w:val="0"/>
          <w:marTop w:val="0"/>
          <w:marBottom w:val="0"/>
          <w:divBdr>
            <w:top w:val="none" w:sz="0" w:space="0" w:color="auto"/>
            <w:left w:val="none" w:sz="0" w:space="0" w:color="auto"/>
            <w:bottom w:val="none" w:sz="0" w:space="0" w:color="auto"/>
            <w:right w:val="none" w:sz="0" w:space="0" w:color="auto"/>
          </w:divBdr>
        </w:div>
        <w:div w:id="188835120">
          <w:marLeft w:val="547"/>
          <w:marRight w:val="0"/>
          <w:marTop w:val="0"/>
          <w:marBottom w:val="0"/>
          <w:divBdr>
            <w:top w:val="none" w:sz="0" w:space="0" w:color="auto"/>
            <w:left w:val="none" w:sz="0" w:space="0" w:color="auto"/>
            <w:bottom w:val="none" w:sz="0" w:space="0" w:color="auto"/>
            <w:right w:val="none" w:sz="0" w:space="0" w:color="auto"/>
          </w:divBdr>
        </w:div>
        <w:div w:id="1915968096">
          <w:marLeft w:val="547"/>
          <w:marRight w:val="0"/>
          <w:marTop w:val="0"/>
          <w:marBottom w:val="0"/>
          <w:divBdr>
            <w:top w:val="none" w:sz="0" w:space="0" w:color="auto"/>
            <w:left w:val="none" w:sz="0" w:space="0" w:color="auto"/>
            <w:bottom w:val="none" w:sz="0" w:space="0" w:color="auto"/>
            <w:right w:val="none" w:sz="0" w:space="0" w:color="auto"/>
          </w:divBdr>
        </w:div>
        <w:div w:id="809134533">
          <w:marLeft w:val="547"/>
          <w:marRight w:val="0"/>
          <w:marTop w:val="0"/>
          <w:marBottom w:val="0"/>
          <w:divBdr>
            <w:top w:val="none" w:sz="0" w:space="0" w:color="auto"/>
            <w:left w:val="none" w:sz="0" w:space="0" w:color="auto"/>
            <w:bottom w:val="none" w:sz="0" w:space="0" w:color="auto"/>
            <w:right w:val="none" w:sz="0" w:space="0" w:color="auto"/>
          </w:divBdr>
        </w:div>
      </w:divsChild>
    </w:div>
    <w:div w:id="1338579310">
      <w:bodyDiv w:val="1"/>
      <w:marLeft w:val="0"/>
      <w:marRight w:val="0"/>
      <w:marTop w:val="0"/>
      <w:marBottom w:val="0"/>
      <w:divBdr>
        <w:top w:val="none" w:sz="0" w:space="0" w:color="auto"/>
        <w:left w:val="none" w:sz="0" w:space="0" w:color="auto"/>
        <w:bottom w:val="none" w:sz="0" w:space="0" w:color="auto"/>
        <w:right w:val="none" w:sz="0" w:space="0" w:color="auto"/>
      </w:divBdr>
      <w:divsChild>
        <w:div w:id="738868398">
          <w:marLeft w:val="547"/>
          <w:marRight w:val="0"/>
          <w:marTop w:val="0"/>
          <w:marBottom w:val="0"/>
          <w:divBdr>
            <w:top w:val="none" w:sz="0" w:space="0" w:color="auto"/>
            <w:left w:val="none" w:sz="0" w:space="0" w:color="auto"/>
            <w:bottom w:val="none" w:sz="0" w:space="0" w:color="auto"/>
            <w:right w:val="none" w:sz="0" w:space="0" w:color="auto"/>
          </w:divBdr>
        </w:div>
        <w:div w:id="1661808075">
          <w:marLeft w:val="547"/>
          <w:marRight w:val="0"/>
          <w:marTop w:val="0"/>
          <w:marBottom w:val="0"/>
          <w:divBdr>
            <w:top w:val="none" w:sz="0" w:space="0" w:color="auto"/>
            <w:left w:val="none" w:sz="0" w:space="0" w:color="auto"/>
            <w:bottom w:val="none" w:sz="0" w:space="0" w:color="auto"/>
            <w:right w:val="none" w:sz="0" w:space="0" w:color="auto"/>
          </w:divBdr>
        </w:div>
      </w:divsChild>
    </w:div>
    <w:div w:id="1357076308">
      <w:bodyDiv w:val="1"/>
      <w:marLeft w:val="0"/>
      <w:marRight w:val="0"/>
      <w:marTop w:val="0"/>
      <w:marBottom w:val="0"/>
      <w:divBdr>
        <w:top w:val="none" w:sz="0" w:space="0" w:color="auto"/>
        <w:left w:val="none" w:sz="0" w:space="0" w:color="auto"/>
        <w:bottom w:val="none" w:sz="0" w:space="0" w:color="auto"/>
        <w:right w:val="none" w:sz="0" w:space="0" w:color="auto"/>
      </w:divBdr>
      <w:divsChild>
        <w:div w:id="646134280">
          <w:marLeft w:val="0"/>
          <w:marRight w:val="0"/>
          <w:marTop w:val="0"/>
          <w:marBottom w:val="0"/>
          <w:divBdr>
            <w:top w:val="none" w:sz="0" w:space="0" w:color="auto"/>
            <w:left w:val="none" w:sz="0" w:space="0" w:color="auto"/>
            <w:bottom w:val="none" w:sz="0" w:space="0" w:color="auto"/>
            <w:right w:val="none" w:sz="0" w:space="0" w:color="auto"/>
          </w:divBdr>
          <w:divsChild>
            <w:div w:id="146871308">
              <w:marLeft w:val="0"/>
              <w:marRight w:val="0"/>
              <w:marTop w:val="0"/>
              <w:marBottom w:val="0"/>
              <w:divBdr>
                <w:top w:val="none" w:sz="0" w:space="0" w:color="auto"/>
                <w:left w:val="none" w:sz="0" w:space="0" w:color="auto"/>
                <w:bottom w:val="none" w:sz="0" w:space="0" w:color="auto"/>
                <w:right w:val="none" w:sz="0" w:space="0" w:color="auto"/>
              </w:divBdr>
            </w:div>
            <w:div w:id="496967001">
              <w:marLeft w:val="0"/>
              <w:marRight w:val="0"/>
              <w:marTop w:val="0"/>
              <w:marBottom w:val="0"/>
              <w:divBdr>
                <w:top w:val="none" w:sz="0" w:space="0" w:color="auto"/>
                <w:left w:val="none" w:sz="0" w:space="0" w:color="auto"/>
                <w:bottom w:val="none" w:sz="0" w:space="0" w:color="auto"/>
                <w:right w:val="none" w:sz="0" w:space="0" w:color="auto"/>
              </w:divBdr>
            </w:div>
            <w:div w:id="1860199805">
              <w:marLeft w:val="0"/>
              <w:marRight w:val="0"/>
              <w:marTop w:val="0"/>
              <w:marBottom w:val="0"/>
              <w:divBdr>
                <w:top w:val="none" w:sz="0" w:space="0" w:color="auto"/>
                <w:left w:val="none" w:sz="0" w:space="0" w:color="auto"/>
                <w:bottom w:val="none" w:sz="0" w:space="0" w:color="auto"/>
                <w:right w:val="none" w:sz="0" w:space="0" w:color="auto"/>
              </w:divBdr>
            </w:div>
          </w:divsChild>
        </w:div>
        <w:div w:id="1570458842">
          <w:marLeft w:val="0"/>
          <w:marRight w:val="0"/>
          <w:marTop w:val="0"/>
          <w:marBottom w:val="0"/>
          <w:divBdr>
            <w:top w:val="none" w:sz="0" w:space="0" w:color="auto"/>
            <w:left w:val="none" w:sz="0" w:space="0" w:color="auto"/>
            <w:bottom w:val="none" w:sz="0" w:space="0" w:color="auto"/>
            <w:right w:val="none" w:sz="0" w:space="0" w:color="auto"/>
          </w:divBdr>
          <w:divsChild>
            <w:div w:id="1197423179">
              <w:marLeft w:val="0"/>
              <w:marRight w:val="0"/>
              <w:marTop w:val="0"/>
              <w:marBottom w:val="0"/>
              <w:divBdr>
                <w:top w:val="none" w:sz="0" w:space="0" w:color="auto"/>
                <w:left w:val="none" w:sz="0" w:space="0" w:color="auto"/>
                <w:bottom w:val="none" w:sz="0" w:space="0" w:color="auto"/>
                <w:right w:val="none" w:sz="0" w:space="0" w:color="auto"/>
              </w:divBdr>
            </w:div>
            <w:div w:id="1557929345">
              <w:marLeft w:val="0"/>
              <w:marRight w:val="0"/>
              <w:marTop w:val="0"/>
              <w:marBottom w:val="0"/>
              <w:divBdr>
                <w:top w:val="none" w:sz="0" w:space="0" w:color="auto"/>
                <w:left w:val="none" w:sz="0" w:space="0" w:color="auto"/>
                <w:bottom w:val="none" w:sz="0" w:space="0" w:color="auto"/>
                <w:right w:val="none" w:sz="0" w:space="0" w:color="auto"/>
              </w:divBdr>
            </w:div>
          </w:divsChild>
        </w:div>
        <w:div w:id="2081363747">
          <w:marLeft w:val="0"/>
          <w:marRight w:val="0"/>
          <w:marTop w:val="0"/>
          <w:marBottom w:val="0"/>
          <w:divBdr>
            <w:top w:val="none" w:sz="0" w:space="0" w:color="auto"/>
            <w:left w:val="none" w:sz="0" w:space="0" w:color="auto"/>
            <w:bottom w:val="none" w:sz="0" w:space="0" w:color="auto"/>
            <w:right w:val="none" w:sz="0" w:space="0" w:color="auto"/>
          </w:divBdr>
          <w:divsChild>
            <w:div w:id="721054459">
              <w:marLeft w:val="0"/>
              <w:marRight w:val="0"/>
              <w:marTop w:val="0"/>
              <w:marBottom w:val="0"/>
              <w:divBdr>
                <w:top w:val="none" w:sz="0" w:space="0" w:color="auto"/>
                <w:left w:val="none" w:sz="0" w:space="0" w:color="auto"/>
                <w:bottom w:val="none" w:sz="0" w:space="0" w:color="auto"/>
                <w:right w:val="none" w:sz="0" w:space="0" w:color="auto"/>
              </w:divBdr>
            </w:div>
            <w:div w:id="14548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2849">
      <w:bodyDiv w:val="1"/>
      <w:marLeft w:val="0"/>
      <w:marRight w:val="0"/>
      <w:marTop w:val="0"/>
      <w:marBottom w:val="0"/>
      <w:divBdr>
        <w:top w:val="none" w:sz="0" w:space="0" w:color="auto"/>
        <w:left w:val="none" w:sz="0" w:space="0" w:color="auto"/>
        <w:bottom w:val="none" w:sz="0" w:space="0" w:color="auto"/>
        <w:right w:val="none" w:sz="0" w:space="0" w:color="auto"/>
      </w:divBdr>
      <w:divsChild>
        <w:div w:id="914436112">
          <w:marLeft w:val="547"/>
          <w:marRight w:val="0"/>
          <w:marTop w:val="0"/>
          <w:marBottom w:val="0"/>
          <w:divBdr>
            <w:top w:val="none" w:sz="0" w:space="0" w:color="auto"/>
            <w:left w:val="none" w:sz="0" w:space="0" w:color="auto"/>
            <w:bottom w:val="none" w:sz="0" w:space="0" w:color="auto"/>
            <w:right w:val="none" w:sz="0" w:space="0" w:color="auto"/>
          </w:divBdr>
        </w:div>
      </w:divsChild>
    </w:div>
    <w:div w:id="1730109832">
      <w:bodyDiv w:val="1"/>
      <w:marLeft w:val="0"/>
      <w:marRight w:val="0"/>
      <w:marTop w:val="0"/>
      <w:marBottom w:val="0"/>
      <w:divBdr>
        <w:top w:val="none" w:sz="0" w:space="0" w:color="auto"/>
        <w:left w:val="none" w:sz="0" w:space="0" w:color="auto"/>
        <w:bottom w:val="none" w:sz="0" w:space="0" w:color="auto"/>
        <w:right w:val="none" w:sz="0" w:space="0" w:color="auto"/>
      </w:divBdr>
      <w:divsChild>
        <w:div w:id="316157445">
          <w:marLeft w:val="0"/>
          <w:marRight w:val="0"/>
          <w:marTop w:val="0"/>
          <w:marBottom w:val="0"/>
          <w:divBdr>
            <w:top w:val="none" w:sz="0" w:space="0" w:color="auto"/>
            <w:left w:val="none" w:sz="0" w:space="0" w:color="auto"/>
            <w:bottom w:val="none" w:sz="0" w:space="0" w:color="auto"/>
            <w:right w:val="none" w:sz="0" w:space="0" w:color="auto"/>
          </w:divBdr>
          <w:divsChild>
            <w:div w:id="2065636244">
              <w:marLeft w:val="0"/>
              <w:marRight w:val="0"/>
              <w:marTop w:val="0"/>
              <w:marBottom w:val="0"/>
              <w:divBdr>
                <w:top w:val="none" w:sz="0" w:space="0" w:color="auto"/>
                <w:left w:val="none" w:sz="0" w:space="0" w:color="auto"/>
                <w:bottom w:val="none" w:sz="0" w:space="0" w:color="auto"/>
                <w:right w:val="none" w:sz="0" w:space="0" w:color="auto"/>
              </w:divBdr>
            </w:div>
          </w:divsChild>
        </w:div>
        <w:div w:id="1119882284">
          <w:marLeft w:val="0"/>
          <w:marRight w:val="0"/>
          <w:marTop w:val="0"/>
          <w:marBottom w:val="0"/>
          <w:divBdr>
            <w:top w:val="none" w:sz="0" w:space="0" w:color="auto"/>
            <w:left w:val="none" w:sz="0" w:space="0" w:color="auto"/>
            <w:bottom w:val="none" w:sz="0" w:space="0" w:color="auto"/>
            <w:right w:val="none" w:sz="0" w:space="0" w:color="auto"/>
          </w:divBdr>
          <w:divsChild>
            <w:div w:id="903180765">
              <w:marLeft w:val="0"/>
              <w:marRight w:val="0"/>
              <w:marTop w:val="0"/>
              <w:marBottom w:val="0"/>
              <w:divBdr>
                <w:top w:val="none" w:sz="0" w:space="0" w:color="auto"/>
                <w:left w:val="none" w:sz="0" w:space="0" w:color="auto"/>
                <w:bottom w:val="none" w:sz="0" w:space="0" w:color="auto"/>
                <w:right w:val="none" w:sz="0" w:space="0" w:color="auto"/>
              </w:divBdr>
            </w:div>
          </w:divsChild>
        </w:div>
        <w:div w:id="1836919173">
          <w:marLeft w:val="0"/>
          <w:marRight w:val="0"/>
          <w:marTop w:val="0"/>
          <w:marBottom w:val="0"/>
          <w:divBdr>
            <w:top w:val="none" w:sz="0" w:space="0" w:color="auto"/>
            <w:left w:val="none" w:sz="0" w:space="0" w:color="auto"/>
            <w:bottom w:val="none" w:sz="0" w:space="0" w:color="auto"/>
            <w:right w:val="none" w:sz="0" w:space="0" w:color="auto"/>
          </w:divBdr>
          <w:divsChild>
            <w:div w:id="1808862432">
              <w:marLeft w:val="0"/>
              <w:marRight w:val="0"/>
              <w:marTop w:val="0"/>
              <w:marBottom w:val="0"/>
              <w:divBdr>
                <w:top w:val="none" w:sz="0" w:space="0" w:color="auto"/>
                <w:left w:val="none" w:sz="0" w:space="0" w:color="auto"/>
                <w:bottom w:val="none" w:sz="0" w:space="0" w:color="auto"/>
                <w:right w:val="none" w:sz="0" w:space="0" w:color="auto"/>
              </w:divBdr>
            </w:div>
            <w:div w:id="19867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40679">
      <w:bodyDiv w:val="1"/>
      <w:marLeft w:val="0"/>
      <w:marRight w:val="0"/>
      <w:marTop w:val="0"/>
      <w:marBottom w:val="0"/>
      <w:divBdr>
        <w:top w:val="none" w:sz="0" w:space="0" w:color="auto"/>
        <w:left w:val="none" w:sz="0" w:space="0" w:color="auto"/>
        <w:bottom w:val="none" w:sz="0" w:space="0" w:color="auto"/>
        <w:right w:val="none" w:sz="0" w:space="0" w:color="auto"/>
      </w:divBdr>
      <w:divsChild>
        <w:div w:id="167253804">
          <w:marLeft w:val="0"/>
          <w:marRight w:val="0"/>
          <w:marTop w:val="0"/>
          <w:marBottom w:val="0"/>
          <w:divBdr>
            <w:top w:val="none" w:sz="0" w:space="0" w:color="auto"/>
            <w:left w:val="none" w:sz="0" w:space="0" w:color="auto"/>
            <w:bottom w:val="none" w:sz="0" w:space="0" w:color="auto"/>
            <w:right w:val="none" w:sz="0" w:space="0" w:color="auto"/>
          </w:divBdr>
          <w:divsChild>
            <w:div w:id="190187808">
              <w:marLeft w:val="0"/>
              <w:marRight w:val="0"/>
              <w:marTop w:val="0"/>
              <w:marBottom w:val="0"/>
              <w:divBdr>
                <w:top w:val="none" w:sz="0" w:space="0" w:color="auto"/>
                <w:left w:val="none" w:sz="0" w:space="0" w:color="auto"/>
                <w:bottom w:val="none" w:sz="0" w:space="0" w:color="auto"/>
                <w:right w:val="none" w:sz="0" w:space="0" w:color="auto"/>
              </w:divBdr>
            </w:div>
            <w:div w:id="971591642">
              <w:marLeft w:val="0"/>
              <w:marRight w:val="0"/>
              <w:marTop w:val="0"/>
              <w:marBottom w:val="0"/>
              <w:divBdr>
                <w:top w:val="none" w:sz="0" w:space="0" w:color="auto"/>
                <w:left w:val="none" w:sz="0" w:space="0" w:color="auto"/>
                <w:bottom w:val="none" w:sz="0" w:space="0" w:color="auto"/>
                <w:right w:val="none" w:sz="0" w:space="0" w:color="auto"/>
              </w:divBdr>
            </w:div>
          </w:divsChild>
        </w:div>
        <w:div w:id="794256775">
          <w:marLeft w:val="0"/>
          <w:marRight w:val="0"/>
          <w:marTop w:val="0"/>
          <w:marBottom w:val="0"/>
          <w:divBdr>
            <w:top w:val="none" w:sz="0" w:space="0" w:color="auto"/>
            <w:left w:val="none" w:sz="0" w:space="0" w:color="auto"/>
            <w:bottom w:val="none" w:sz="0" w:space="0" w:color="auto"/>
            <w:right w:val="none" w:sz="0" w:space="0" w:color="auto"/>
          </w:divBdr>
          <w:divsChild>
            <w:div w:id="1074863921">
              <w:marLeft w:val="0"/>
              <w:marRight w:val="0"/>
              <w:marTop w:val="0"/>
              <w:marBottom w:val="0"/>
              <w:divBdr>
                <w:top w:val="none" w:sz="0" w:space="0" w:color="auto"/>
                <w:left w:val="none" w:sz="0" w:space="0" w:color="auto"/>
                <w:bottom w:val="none" w:sz="0" w:space="0" w:color="auto"/>
                <w:right w:val="none" w:sz="0" w:space="0" w:color="auto"/>
              </w:divBdr>
            </w:div>
          </w:divsChild>
        </w:div>
        <w:div w:id="988755344">
          <w:marLeft w:val="0"/>
          <w:marRight w:val="0"/>
          <w:marTop w:val="0"/>
          <w:marBottom w:val="0"/>
          <w:divBdr>
            <w:top w:val="none" w:sz="0" w:space="0" w:color="auto"/>
            <w:left w:val="none" w:sz="0" w:space="0" w:color="auto"/>
            <w:bottom w:val="none" w:sz="0" w:space="0" w:color="auto"/>
            <w:right w:val="none" w:sz="0" w:space="0" w:color="auto"/>
          </w:divBdr>
          <w:divsChild>
            <w:div w:id="1979266417">
              <w:marLeft w:val="0"/>
              <w:marRight w:val="0"/>
              <w:marTop w:val="0"/>
              <w:marBottom w:val="0"/>
              <w:divBdr>
                <w:top w:val="none" w:sz="0" w:space="0" w:color="auto"/>
                <w:left w:val="none" w:sz="0" w:space="0" w:color="auto"/>
                <w:bottom w:val="none" w:sz="0" w:space="0" w:color="auto"/>
                <w:right w:val="none" w:sz="0" w:space="0" w:color="auto"/>
              </w:divBdr>
            </w:div>
          </w:divsChild>
        </w:div>
        <w:div w:id="1965305641">
          <w:marLeft w:val="0"/>
          <w:marRight w:val="0"/>
          <w:marTop w:val="0"/>
          <w:marBottom w:val="0"/>
          <w:divBdr>
            <w:top w:val="none" w:sz="0" w:space="0" w:color="auto"/>
            <w:left w:val="none" w:sz="0" w:space="0" w:color="auto"/>
            <w:bottom w:val="none" w:sz="0" w:space="0" w:color="auto"/>
            <w:right w:val="none" w:sz="0" w:space="0" w:color="auto"/>
          </w:divBdr>
          <w:divsChild>
            <w:div w:id="468403638">
              <w:marLeft w:val="0"/>
              <w:marRight w:val="0"/>
              <w:marTop w:val="0"/>
              <w:marBottom w:val="0"/>
              <w:divBdr>
                <w:top w:val="none" w:sz="0" w:space="0" w:color="auto"/>
                <w:left w:val="none" w:sz="0" w:space="0" w:color="auto"/>
                <w:bottom w:val="none" w:sz="0" w:space="0" w:color="auto"/>
                <w:right w:val="none" w:sz="0" w:space="0" w:color="auto"/>
              </w:divBdr>
            </w:div>
            <w:div w:id="16448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9612">
      <w:bodyDiv w:val="1"/>
      <w:marLeft w:val="0"/>
      <w:marRight w:val="0"/>
      <w:marTop w:val="0"/>
      <w:marBottom w:val="0"/>
      <w:divBdr>
        <w:top w:val="none" w:sz="0" w:space="0" w:color="auto"/>
        <w:left w:val="none" w:sz="0" w:space="0" w:color="auto"/>
        <w:bottom w:val="none" w:sz="0" w:space="0" w:color="auto"/>
        <w:right w:val="none" w:sz="0" w:space="0" w:color="auto"/>
      </w:divBdr>
      <w:divsChild>
        <w:div w:id="751783463">
          <w:marLeft w:val="547"/>
          <w:marRight w:val="0"/>
          <w:marTop w:val="0"/>
          <w:marBottom w:val="0"/>
          <w:divBdr>
            <w:top w:val="none" w:sz="0" w:space="0" w:color="auto"/>
            <w:left w:val="none" w:sz="0" w:space="0" w:color="auto"/>
            <w:bottom w:val="none" w:sz="0" w:space="0" w:color="auto"/>
            <w:right w:val="none" w:sz="0" w:space="0" w:color="auto"/>
          </w:divBdr>
        </w:div>
        <w:div w:id="1575890746">
          <w:marLeft w:val="547"/>
          <w:marRight w:val="0"/>
          <w:marTop w:val="0"/>
          <w:marBottom w:val="0"/>
          <w:divBdr>
            <w:top w:val="none" w:sz="0" w:space="0" w:color="auto"/>
            <w:left w:val="none" w:sz="0" w:space="0" w:color="auto"/>
            <w:bottom w:val="none" w:sz="0" w:space="0" w:color="auto"/>
            <w:right w:val="none" w:sz="0" w:space="0" w:color="auto"/>
          </w:divBdr>
        </w:div>
        <w:div w:id="1563979205">
          <w:marLeft w:val="547"/>
          <w:marRight w:val="0"/>
          <w:marTop w:val="0"/>
          <w:marBottom w:val="0"/>
          <w:divBdr>
            <w:top w:val="none" w:sz="0" w:space="0" w:color="auto"/>
            <w:left w:val="none" w:sz="0" w:space="0" w:color="auto"/>
            <w:bottom w:val="none" w:sz="0" w:space="0" w:color="auto"/>
            <w:right w:val="none" w:sz="0" w:space="0" w:color="auto"/>
          </w:divBdr>
        </w:div>
        <w:div w:id="1047266474">
          <w:marLeft w:val="547"/>
          <w:marRight w:val="0"/>
          <w:marTop w:val="0"/>
          <w:marBottom w:val="0"/>
          <w:divBdr>
            <w:top w:val="none" w:sz="0" w:space="0" w:color="auto"/>
            <w:left w:val="none" w:sz="0" w:space="0" w:color="auto"/>
            <w:bottom w:val="none" w:sz="0" w:space="0" w:color="auto"/>
            <w:right w:val="none" w:sz="0" w:space="0" w:color="auto"/>
          </w:divBdr>
        </w:div>
      </w:divsChild>
    </w:div>
    <w:div w:id="1951862613">
      <w:bodyDiv w:val="1"/>
      <w:marLeft w:val="0"/>
      <w:marRight w:val="0"/>
      <w:marTop w:val="0"/>
      <w:marBottom w:val="0"/>
      <w:divBdr>
        <w:top w:val="none" w:sz="0" w:space="0" w:color="auto"/>
        <w:left w:val="none" w:sz="0" w:space="0" w:color="auto"/>
        <w:bottom w:val="none" w:sz="0" w:space="0" w:color="auto"/>
        <w:right w:val="none" w:sz="0" w:space="0" w:color="auto"/>
      </w:divBdr>
      <w:divsChild>
        <w:div w:id="142427539">
          <w:marLeft w:val="0"/>
          <w:marRight w:val="0"/>
          <w:marTop w:val="0"/>
          <w:marBottom w:val="0"/>
          <w:divBdr>
            <w:top w:val="none" w:sz="0" w:space="0" w:color="auto"/>
            <w:left w:val="none" w:sz="0" w:space="0" w:color="auto"/>
            <w:bottom w:val="none" w:sz="0" w:space="0" w:color="auto"/>
            <w:right w:val="none" w:sz="0" w:space="0" w:color="auto"/>
          </w:divBdr>
          <w:divsChild>
            <w:div w:id="190456731">
              <w:marLeft w:val="0"/>
              <w:marRight w:val="0"/>
              <w:marTop w:val="0"/>
              <w:marBottom w:val="0"/>
              <w:divBdr>
                <w:top w:val="none" w:sz="0" w:space="0" w:color="auto"/>
                <w:left w:val="none" w:sz="0" w:space="0" w:color="auto"/>
                <w:bottom w:val="none" w:sz="0" w:space="0" w:color="auto"/>
                <w:right w:val="none" w:sz="0" w:space="0" w:color="auto"/>
              </w:divBdr>
            </w:div>
          </w:divsChild>
        </w:div>
        <w:div w:id="351608421">
          <w:marLeft w:val="0"/>
          <w:marRight w:val="0"/>
          <w:marTop w:val="0"/>
          <w:marBottom w:val="0"/>
          <w:divBdr>
            <w:top w:val="none" w:sz="0" w:space="0" w:color="auto"/>
            <w:left w:val="none" w:sz="0" w:space="0" w:color="auto"/>
            <w:bottom w:val="none" w:sz="0" w:space="0" w:color="auto"/>
            <w:right w:val="none" w:sz="0" w:space="0" w:color="auto"/>
          </w:divBdr>
          <w:divsChild>
            <w:div w:id="974794235">
              <w:marLeft w:val="0"/>
              <w:marRight w:val="0"/>
              <w:marTop w:val="0"/>
              <w:marBottom w:val="0"/>
              <w:divBdr>
                <w:top w:val="none" w:sz="0" w:space="0" w:color="auto"/>
                <w:left w:val="none" w:sz="0" w:space="0" w:color="auto"/>
                <w:bottom w:val="none" w:sz="0" w:space="0" w:color="auto"/>
                <w:right w:val="none" w:sz="0" w:space="0" w:color="auto"/>
              </w:divBdr>
            </w:div>
          </w:divsChild>
        </w:div>
        <w:div w:id="701983362">
          <w:marLeft w:val="0"/>
          <w:marRight w:val="0"/>
          <w:marTop w:val="0"/>
          <w:marBottom w:val="0"/>
          <w:divBdr>
            <w:top w:val="none" w:sz="0" w:space="0" w:color="auto"/>
            <w:left w:val="none" w:sz="0" w:space="0" w:color="auto"/>
            <w:bottom w:val="none" w:sz="0" w:space="0" w:color="auto"/>
            <w:right w:val="none" w:sz="0" w:space="0" w:color="auto"/>
          </w:divBdr>
          <w:divsChild>
            <w:div w:id="48997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97793">
      <w:bodyDiv w:val="1"/>
      <w:marLeft w:val="0"/>
      <w:marRight w:val="0"/>
      <w:marTop w:val="0"/>
      <w:marBottom w:val="0"/>
      <w:divBdr>
        <w:top w:val="none" w:sz="0" w:space="0" w:color="auto"/>
        <w:left w:val="none" w:sz="0" w:space="0" w:color="auto"/>
        <w:bottom w:val="none" w:sz="0" w:space="0" w:color="auto"/>
        <w:right w:val="none" w:sz="0" w:space="0" w:color="auto"/>
      </w:divBdr>
      <w:divsChild>
        <w:div w:id="60753689">
          <w:marLeft w:val="0"/>
          <w:marRight w:val="0"/>
          <w:marTop w:val="0"/>
          <w:marBottom w:val="0"/>
          <w:divBdr>
            <w:top w:val="none" w:sz="0" w:space="0" w:color="auto"/>
            <w:left w:val="none" w:sz="0" w:space="0" w:color="auto"/>
            <w:bottom w:val="none" w:sz="0" w:space="0" w:color="auto"/>
            <w:right w:val="none" w:sz="0" w:space="0" w:color="auto"/>
          </w:divBdr>
        </w:div>
        <w:div w:id="326909379">
          <w:marLeft w:val="0"/>
          <w:marRight w:val="0"/>
          <w:marTop w:val="0"/>
          <w:marBottom w:val="0"/>
          <w:divBdr>
            <w:top w:val="none" w:sz="0" w:space="0" w:color="auto"/>
            <w:left w:val="none" w:sz="0" w:space="0" w:color="auto"/>
            <w:bottom w:val="none" w:sz="0" w:space="0" w:color="auto"/>
            <w:right w:val="none" w:sz="0" w:space="0" w:color="auto"/>
          </w:divBdr>
        </w:div>
        <w:div w:id="368460951">
          <w:marLeft w:val="0"/>
          <w:marRight w:val="0"/>
          <w:marTop w:val="0"/>
          <w:marBottom w:val="0"/>
          <w:divBdr>
            <w:top w:val="none" w:sz="0" w:space="0" w:color="auto"/>
            <w:left w:val="none" w:sz="0" w:space="0" w:color="auto"/>
            <w:bottom w:val="none" w:sz="0" w:space="0" w:color="auto"/>
            <w:right w:val="none" w:sz="0" w:space="0" w:color="auto"/>
          </w:divBdr>
        </w:div>
        <w:div w:id="400374602">
          <w:marLeft w:val="0"/>
          <w:marRight w:val="0"/>
          <w:marTop w:val="0"/>
          <w:marBottom w:val="0"/>
          <w:divBdr>
            <w:top w:val="none" w:sz="0" w:space="0" w:color="auto"/>
            <w:left w:val="none" w:sz="0" w:space="0" w:color="auto"/>
            <w:bottom w:val="none" w:sz="0" w:space="0" w:color="auto"/>
            <w:right w:val="none" w:sz="0" w:space="0" w:color="auto"/>
          </w:divBdr>
        </w:div>
        <w:div w:id="430662887">
          <w:marLeft w:val="0"/>
          <w:marRight w:val="0"/>
          <w:marTop w:val="0"/>
          <w:marBottom w:val="0"/>
          <w:divBdr>
            <w:top w:val="none" w:sz="0" w:space="0" w:color="auto"/>
            <w:left w:val="none" w:sz="0" w:space="0" w:color="auto"/>
            <w:bottom w:val="none" w:sz="0" w:space="0" w:color="auto"/>
            <w:right w:val="none" w:sz="0" w:space="0" w:color="auto"/>
          </w:divBdr>
        </w:div>
        <w:div w:id="445662558">
          <w:marLeft w:val="0"/>
          <w:marRight w:val="0"/>
          <w:marTop w:val="0"/>
          <w:marBottom w:val="0"/>
          <w:divBdr>
            <w:top w:val="none" w:sz="0" w:space="0" w:color="auto"/>
            <w:left w:val="none" w:sz="0" w:space="0" w:color="auto"/>
            <w:bottom w:val="none" w:sz="0" w:space="0" w:color="auto"/>
            <w:right w:val="none" w:sz="0" w:space="0" w:color="auto"/>
          </w:divBdr>
        </w:div>
        <w:div w:id="888221095">
          <w:marLeft w:val="0"/>
          <w:marRight w:val="0"/>
          <w:marTop w:val="0"/>
          <w:marBottom w:val="0"/>
          <w:divBdr>
            <w:top w:val="none" w:sz="0" w:space="0" w:color="auto"/>
            <w:left w:val="none" w:sz="0" w:space="0" w:color="auto"/>
            <w:bottom w:val="none" w:sz="0" w:space="0" w:color="auto"/>
            <w:right w:val="none" w:sz="0" w:space="0" w:color="auto"/>
          </w:divBdr>
        </w:div>
        <w:div w:id="1039548386">
          <w:marLeft w:val="0"/>
          <w:marRight w:val="0"/>
          <w:marTop w:val="0"/>
          <w:marBottom w:val="0"/>
          <w:divBdr>
            <w:top w:val="none" w:sz="0" w:space="0" w:color="auto"/>
            <w:left w:val="none" w:sz="0" w:space="0" w:color="auto"/>
            <w:bottom w:val="none" w:sz="0" w:space="0" w:color="auto"/>
            <w:right w:val="none" w:sz="0" w:space="0" w:color="auto"/>
          </w:divBdr>
        </w:div>
        <w:div w:id="1197160833">
          <w:marLeft w:val="0"/>
          <w:marRight w:val="0"/>
          <w:marTop w:val="0"/>
          <w:marBottom w:val="0"/>
          <w:divBdr>
            <w:top w:val="none" w:sz="0" w:space="0" w:color="auto"/>
            <w:left w:val="none" w:sz="0" w:space="0" w:color="auto"/>
            <w:bottom w:val="none" w:sz="0" w:space="0" w:color="auto"/>
            <w:right w:val="none" w:sz="0" w:space="0" w:color="auto"/>
          </w:divBdr>
        </w:div>
        <w:div w:id="1246375231">
          <w:marLeft w:val="0"/>
          <w:marRight w:val="0"/>
          <w:marTop w:val="0"/>
          <w:marBottom w:val="0"/>
          <w:divBdr>
            <w:top w:val="none" w:sz="0" w:space="0" w:color="auto"/>
            <w:left w:val="none" w:sz="0" w:space="0" w:color="auto"/>
            <w:bottom w:val="none" w:sz="0" w:space="0" w:color="auto"/>
            <w:right w:val="none" w:sz="0" w:space="0" w:color="auto"/>
          </w:divBdr>
        </w:div>
        <w:div w:id="1320307105">
          <w:marLeft w:val="0"/>
          <w:marRight w:val="0"/>
          <w:marTop w:val="0"/>
          <w:marBottom w:val="0"/>
          <w:divBdr>
            <w:top w:val="none" w:sz="0" w:space="0" w:color="auto"/>
            <w:left w:val="none" w:sz="0" w:space="0" w:color="auto"/>
            <w:bottom w:val="none" w:sz="0" w:space="0" w:color="auto"/>
            <w:right w:val="none" w:sz="0" w:space="0" w:color="auto"/>
          </w:divBdr>
        </w:div>
        <w:div w:id="1425034530">
          <w:marLeft w:val="0"/>
          <w:marRight w:val="0"/>
          <w:marTop w:val="0"/>
          <w:marBottom w:val="0"/>
          <w:divBdr>
            <w:top w:val="none" w:sz="0" w:space="0" w:color="auto"/>
            <w:left w:val="none" w:sz="0" w:space="0" w:color="auto"/>
            <w:bottom w:val="none" w:sz="0" w:space="0" w:color="auto"/>
            <w:right w:val="none" w:sz="0" w:space="0" w:color="auto"/>
          </w:divBdr>
        </w:div>
        <w:div w:id="1429539499">
          <w:marLeft w:val="0"/>
          <w:marRight w:val="0"/>
          <w:marTop w:val="0"/>
          <w:marBottom w:val="0"/>
          <w:divBdr>
            <w:top w:val="none" w:sz="0" w:space="0" w:color="auto"/>
            <w:left w:val="none" w:sz="0" w:space="0" w:color="auto"/>
            <w:bottom w:val="none" w:sz="0" w:space="0" w:color="auto"/>
            <w:right w:val="none" w:sz="0" w:space="0" w:color="auto"/>
          </w:divBdr>
        </w:div>
        <w:div w:id="1436822996">
          <w:marLeft w:val="0"/>
          <w:marRight w:val="0"/>
          <w:marTop w:val="0"/>
          <w:marBottom w:val="0"/>
          <w:divBdr>
            <w:top w:val="none" w:sz="0" w:space="0" w:color="auto"/>
            <w:left w:val="none" w:sz="0" w:space="0" w:color="auto"/>
            <w:bottom w:val="none" w:sz="0" w:space="0" w:color="auto"/>
            <w:right w:val="none" w:sz="0" w:space="0" w:color="auto"/>
          </w:divBdr>
        </w:div>
        <w:div w:id="1863591876">
          <w:marLeft w:val="0"/>
          <w:marRight w:val="0"/>
          <w:marTop w:val="0"/>
          <w:marBottom w:val="0"/>
          <w:divBdr>
            <w:top w:val="none" w:sz="0" w:space="0" w:color="auto"/>
            <w:left w:val="none" w:sz="0" w:space="0" w:color="auto"/>
            <w:bottom w:val="none" w:sz="0" w:space="0" w:color="auto"/>
            <w:right w:val="none" w:sz="0" w:space="0" w:color="auto"/>
          </w:divBdr>
        </w:div>
        <w:div w:id="2012560253">
          <w:marLeft w:val="0"/>
          <w:marRight w:val="0"/>
          <w:marTop w:val="0"/>
          <w:marBottom w:val="0"/>
          <w:divBdr>
            <w:top w:val="none" w:sz="0" w:space="0" w:color="auto"/>
            <w:left w:val="none" w:sz="0" w:space="0" w:color="auto"/>
            <w:bottom w:val="none" w:sz="0" w:space="0" w:color="auto"/>
            <w:right w:val="none" w:sz="0" w:space="0" w:color="auto"/>
          </w:divBdr>
        </w:div>
        <w:div w:id="2040203246">
          <w:marLeft w:val="0"/>
          <w:marRight w:val="0"/>
          <w:marTop w:val="0"/>
          <w:marBottom w:val="0"/>
          <w:divBdr>
            <w:top w:val="none" w:sz="0" w:space="0" w:color="auto"/>
            <w:left w:val="none" w:sz="0" w:space="0" w:color="auto"/>
            <w:bottom w:val="none" w:sz="0" w:space="0" w:color="auto"/>
            <w:right w:val="none" w:sz="0" w:space="0" w:color="auto"/>
          </w:divBdr>
        </w:div>
      </w:divsChild>
    </w:div>
    <w:div w:id="2118089611">
      <w:bodyDiv w:val="1"/>
      <w:marLeft w:val="0"/>
      <w:marRight w:val="0"/>
      <w:marTop w:val="0"/>
      <w:marBottom w:val="0"/>
      <w:divBdr>
        <w:top w:val="none" w:sz="0" w:space="0" w:color="auto"/>
        <w:left w:val="none" w:sz="0" w:space="0" w:color="auto"/>
        <w:bottom w:val="none" w:sz="0" w:space="0" w:color="auto"/>
        <w:right w:val="none" w:sz="0" w:space="0" w:color="auto"/>
      </w:divBdr>
      <w:divsChild>
        <w:div w:id="167987010">
          <w:marLeft w:val="0"/>
          <w:marRight w:val="0"/>
          <w:marTop w:val="0"/>
          <w:marBottom w:val="0"/>
          <w:divBdr>
            <w:top w:val="none" w:sz="0" w:space="0" w:color="auto"/>
            <w:left w:val="none" w:sz="0" w:space="0" w:color="auto"/>
            <w:bottom w:val="none" w:sz="0" w:space="0" w:color="auto"/>
            <w:right w:val="none" w:sz="0" w:space="0" w:color="auto"/>
          </w:divBdr>
          <w:divsChild>
            <w:div w:id="1494957187">
              <w:marLeft w:val="0"/>
              <w:marRight w:val="0"/>
              <w:marTop w:val="0"/>
              <w:marBottom w:val="0"/>
              <w:divBdr>
                <w:top w:val="none" w:sz="0" w:space="0" w:color="auto"/>
                <w:left w:val="none" w:sz="0" w:space="0" w:color="auto"/>
                <w:bottom w:val="none" w:sz="0" w:space="0" w:color="auto"/>
                <w:right w:val="none" w:sz="0" w:space="0" w:color="auto"/>
              </w:divBdr>
            </w:div>
            <w:div w:id="2129423290">
              <w:marLeft w:val="0"/>
              <w:marRight w:val="0"/>
              <w:marTop w:val="0"/>
              <w:marBottom w:val="0"/>
              <w:divBdr>
                <w:top w:val="none" w:sz="0" w:space="0" w:color="auto"/>
                <w:left w:val="none" w:sz="0" w:space="0" w:color="auto"/>
                <w:bottom w:val="none" w:sz="0" w:space="0" w:color="auto"/>
                <w:right w:val="none" w:sz="0" w:space="0" w:color="auto"/>
              </w:divBdr>
            </w:div>
          </w:divsChild>
        </w:div>
        <w:div w:id="270087513">
          <w:marLeft w:val="0"/>
          <w:marRight w:val="0"/>
          <w:marTop w:val="0"/>
          <w:marBottom w:val="0"/>
          <w:divBdr>
            <w:top w:val="none" w:sz="0" w:space="0" w:color="auto"/>
            <w:left w:val="none" w:sz="0" w:space="0" w:color="auto"/>
            <w:bottom w:val="none" w:sz="0" w:space="0" w:color="auto"/>
            <w:right w:val="none" w:sz="0" w:space="0" w:color="auto"/>
          </w:divBdr>
          <w:divsChild>
            <w:div w:id="1615480684">
              <w:marLeft w:val="0"/>
              <w:marRight w:val="0"/>
              <w:marTop w:val="0"/>
              <w:marBottom w:val="0"/>
              <w:divBdr>
                <w:top w:val="none" w:sz="0" w:space="0" w:color="auto"/>
                <w:left w:val="none" w:sz="0" w:space="0" w:color="auto"/>
                <w:bottom w:val="none" w:sz="0" w:space="0" w:color="auto"/>
                <w:right w:val="none" w:sz="0" w:space="0" w:color="auto"/>
              </w:divBdr>
            </w:div>
          </w:divsChild>
        </w:div>
        <w:div w:id="2053731143">
          <w:marLeft w:val="0"/>
          <w:marRight w:val="0"/>
          <w:marTop w:val="0"/>
          <w:marBottom w:val="0"/>
          <w:divBdr>
            <w:top w:val="none" w:sz="0" w:space="0" w:color="auto"/>
            <w:left w:val="none" w:sz="0" w:space="0" w:color="auto"/>
            <w:bottom w:val="none" w:sz="0" w:space="0" w:color="auto"/>
            <w:right w:val="none" w:sz="0" w:space="0" w:color="auto"/>
          </w:divBdr>
          <w:divsChild>
            <w:div w:id="14822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luton.gov.uk/Page/Show/Council_government_and_democracy/2040/Pages/defaul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ommissiononsocialsecurit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inknpc.org/resource-hub/cost-of-living/" TargetMode="External"/><Relationship Id="rId5" Type="http://schemas.openxmlformats.org/officeDocument/2006/relationships/numbering" Target="numbering.xml"/><Relationship Id="rId15" Type="http://schemas.openxmlformats.org/officeDocument/2006/relationships/hyperlink" Target="mailto:jane.dodson@thinknpc.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omi.chapman@thinknpc.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www.bbc.co.uk/news/uk-england-57851976" TargetMode="External"/><Relationship Id="rId18" Type="http://schemas.openxmlformats.org/officeDocument/2006/relationships/hyperlink" Target="https://www.careleavers.com/adult/" TargetMode="External"/><Relationship Id="rId26" Type="http://schemas.openxmlformats.org/officeDocument/2006/relationships/hyperlink" Target="https://www.scope.org.uk/campaigns/extra-costs/disability-price-tag/" TargetMode="External"/><Relationship Id="rId39" Type="http://schemas.openxmlformats.org/officeDocument/2006/relationships/hyperlink" Target="https://www.jrf.org.uk/report/poverty-rates-among-ethnic-groups-great-britain" TargetMode="External"/><Relationship Id="rId3" Type="http://schemas.openxmlformats.org/officeDocument/2006/relationships/hyperlink" Target="https://socialmetricscommission.org.uk/measuring-poverty-2020/" TargetMode="External"/><Relationship Id="rId21" Type="http://schemas.openxmlformats.org/officeDocument/2006/relationships/hyperlink" Target="https://neu.org.uk/advice/women-and-poverty" TargetMode="External"/><Relationship Id="rId34" Type="http://schemas.openxmlformats.org/officeDocument/2006/relationships/hyperlink" Target="https://www.jcwi.org.uk/no-recourse-to-public-funds-public-health-risk-destitution" TargetMode="External"/><Relationship Id="rId42" Type="http://schemas.openxmlformats.org/officeDocument/2006/relationships/hyperlink" Target="https://www.unitedforalice.org/Attachments/AllReports/2020ALICE_Financial%20Hardship%20in%20Black%20Households.pdf" TargetMode="External"/><Relationship Id="rId47" Type="http://schemas.openxmlformats.org/officeDocument/2006/relationships/hyperlink" Target="https://www.jrf.org.uk/report/financial-impact-covid-19-disabled-people-and-carers" TargetMode="External"/><Relationship Id="rId50" Type="http://schemas.openxmlformats.org/officeDocument/2006/relationships/hyperlink" Target="https://www.jrf.org.uk/blog/we-cannot-allow-pandemic-set-gender-parity-back-decades" TargetMode="External"/><Relationship Id="rId7" Type="http://schemas.openxmlformats.org/officeDocument/2006/relationships/hyperlink" Target="https://cpag.org.uk/child-poverty/child-poverty-facts-and-figures" TargetMode="External"/><Relationship Id="rId12" Type="http://schemas.openxmlformats.org/officeDocument/2006/relationships/hyperlink" Target="https://www.gov.uk/government/statistics/households-below-average-income-199495-to-201819" TargetMode="External"/><Relationship Id="rId17" Type="http://schemas.openxmlformats.org/officeDocument/2006/relationships/hyperlink" Target="https://www.crisis.org.uk/ending-homelessness/homelessness-knowledge-hub/types-of-homelessness/barely-breaking-even-the-experiences-and-impact-of-in-work-homelessness-across-britain/" TargetMode="External"/><Relationship Id="rId25" Type="http://schemas.openxmlformats.org/officeDocument/2006/relationships/hyperlink" Target="https://www.npi.org.uk/publications/income-and-poverty/disability-and-poverty/" TargetMode="External"/><Relationship Id="rId33" Type="http://schemas.openxmlformats.org/officeDocument/2006/relationships/hyperlink" Target="https://committees.parliament.uk/work/1438/children-in-poverty-no-recourse-to-public-funds/publications/" TargetMode="External"/><Relationship Id="rId38" Type="http://schemas.openxmlformats.org/officeDocument/2006/relationships/hyperlink" Target="https://www.jcwi.org.uk/no-recourse-to-public-funds-public-health-risk-destitution" TargetMode="External"/><Relationship Id="rId46" Type="http://schemas.openxmlformats.org/officeDocument/2006/relationships/hyperlink" Target="https://www.jrf.org.uk/report/financial-impact-covid-19-disabled-people-and-carers" TargetMode="External"/><Relationship Id="rId2" Type="http://schemas.openxmlformats.org/officeDocument/2006/relationships/hyperlink" Target="https://socialmetricscommission.org.uk/measuring-poverty-2020/" TargetMode="External"/><Relationship Id="rId16" Type="http://schemas.openxmlformats.org/officeDocument/2006/relationships/hyperlink" Target="https://www.crisis.org.uk/ending-homelessness/homelessness-knowledge-hub/homelessness-monitor/england/the-homelessness-monitor-england-2022/" TargetMode="External"/><Relationship Id="rId20" Type="http://schemas.openxmlformats.org/officeDocument/2006/relationships/hyperlink" Target="https://www.communitycare.co.uk/2022/01/06/child-poverty-responsible-10000-additional-entries-care-system-five-years-research-suggests/" TargetMode="External"/><Relationship Id="rId29" Type="http://schemas.openxmlformats.org/officeDocument/2006/relationships/hyperlink" Target="https://www.sisofrida.org/wp-content/uploads/2020/05/The-impact-of-COVID-19-on-Disabled-women-from-Sisters-of-Frida.pdf" TargetMode="External"/><Relationship Id="rId41" Type="http://schemas.openxmlformats.org/officeDocument/2006/relationships/hyperlink" Target="https://www.wrc.org.uk/women-and-poverty-during-the-pandemic" TargetMode="External"/><Relationship Id="rId54" Type="http://schemas.openxmlformats.org/officeDocument/2006/relationships/hyperlink" Target="https://residentvoiceindex.com/wp-content/uploads/2022/06/RVI3_The-Cost-of-Living.pdf" TargetMode="External"/><Relationship Id="rId1" Type="http://schemas.openxmlformats.org/officeDocument/2006/relationships/hyperlink" Target="https://commonslibrary.parliament.uk/research-briefings/sn07096/" TargetMode="External"/><Relationship Id="rId6" Type="http://schemas.openxmlformats.org/officeDocument/2006/relationships/hyperlink" Target="https://cpag.org.uk/child-poverty/child-poverty-facts-and-figures" TargetMode="External"/><Relationship Id="rId11" Type="http://schemas.openxmlformats.org/officeDocument/2006/relationships/hyperlink" Target="https://www.fca.org.uk/insight/gender-personal-finances-and-covid-19" TargetMode="External"/><Relationship Id="rId24" Type="http://schemas.openxmlformats.org/officeDocument/2006/relationships/hyperlink" Target="https://www.jrf.org.uk/report/financial-impact-covid-19-disabled-people-and-carers" TargetMode="External"/><Relationship Id="rId32" Type="http://schemas.openxmlformats.org/officeDocument/2006/relationships/hyperlink" Target="https://www.compas.ox.ac.uk/2022/destitution-in-the-uk-how-the-no-recourse-to-public-funds-immigration-condition-affects-poverty/" TargetMode="External"/><Relationship Id="rId37" Type="http://schemas.openxmlformats.org/officeDocument/2006/relationships/hyperlink" Target="https://publications.parliament.uk/pa/jt200607/jtselect/jtrights/81/81i.pdf" TargetMode="External"/><Relationship Id="rId40" Type="http://schemas.openxmlformats.org/officeDocument/2006/relationships/hyperlink" Target="https://www.jrf.org.uk/report/poverty-rates-among-ethnic-groups-great-britain" TargetMode="External"/><Relationship Id="rId45" Type="http://schemas.openxmlformats.org/officeDocument/2006/relationships/hyperlink" Target="https://civilsocietycommission.org/essay/why-we-need-civil-society-to-stand-up-and-lead/" TargetMode="External"/><Relationship Id="rId53" Type="http://schemas.openxmlformats.org/officeDocument/2006/relationships/hyperlink" Target="https://www.zdnet.com/finance/uk-cost-of-living-crisis-whats-happening-why-and-what-might-help/" TargetMode="External"/><Relationship Id="rId5" Type="http://schemas.openxmlformats.org/officeDocument/2006/relationships/hyperlink" Target="https://www.thinknpc.org/resource-hub/local-needs-databank/" TargetMode="External"/><Relationship Id="rId15" Type="http://schemas.openxmlformats.org/officeDocument/2006/relationships/hyperlink" Target="https://www.crisis.org.uk/ending-homelessness/homelessness-knowledge-hub/homelessness-monitor/england/the-homelessness-monitor-england-2022/" TargetMode="External"/><Relationship Id="rId23" Type="http://schemas.openxmlformats.org/officeDocument/2006/relationships/hyperlink" Target="https://neu.org.uk/advice/women-and-poverty" TargetMode="External"/><Relationship Id="rId28" Type="http://schemas.openxmlformats.org/officeDocument/2006/relationships/hyperlink" Target="https://www.scope.org.uk/campaigns/extra-costs/disability-price-tag/" TargetMode="External"/><Relationship Id="rId36" Type="http://schemas.openxmlformats.org/officeDocument/2006/relationships/hyperlink" Target="https://www.nrpfnetwork.org.uk/nrpf-connect/nrpf-connect-data" TargetMode="External"/><Relationship Id="rId49" Type="http://schemas.openxmlformats.org/officeDocument/2006/relationships/hyperlink" Target="https://www.jrf.org.uk/blog/we-cannot-allow-pandemic-set-gender-parity-back-decades" TargetMode="External"/><Relationship Id="rId10" Type="http://schemas.openxmlformats.org/officeDocument/2006/relationships/hyperlink" Target="https://link.springer.com/article/10.1007/s10834-017-9551-6" TargetMode="External"/><Relationship Id="rId19" Type="http://schemas.openxmlformats.org/officeDocument/2006/relationships/hyperlink" Target="https://www.mentalhealthtoday.co.uk/media/23855/vicki_butler_poverty.pdf" TargetMode="External"/><Relationship Id="rId31" Type="http://schemas.openxmlformats.org/officeDocument/2006/relationships/hyperlink" Target="https://wbg.org.uk/analysis/reports/lessons-learned-where-women-stand-at-the-start-of-2021/" TargetMode="External"/><Relationship Id="rId44" Type="http://schemas.openxmlformats.org/officeDocument/2006/relationships/hyperlink" Target="https://www.fca.org.uk/insight/gender-personal-finances-and-covid-19" TargetMode="External"/><Relationship Id="rId52" Type="http://schemas.openxmlformats.org/officeDocument/2006/relationships/hyperlink" Target="https://www.jcwi.org.uk/no-recourse-to-public-funds-public-health-risk-destitution" TargetMode="External"/><Relationship Id="rId4" Type="http://schemas.openxmlformats.org/officeDocument/2006/relationships/hyperlink" Target="https://www.jrf.org.uk/report/uk-poverty-2022" TargetMode="External"/><Relationship Id="rId9" Type="http://schemas.openxmlformats.org/officeDocument/2006/relationships/hyperlink" Target="https://commonslibrary.parliament.uk/research-briefings/sn07096/" TargetMode="External"/><Relationship Id="rId14" Type="http://schemas.openxmlformats.org/officeDocument/2006/relationships/hyperlink" Target="https://civilsocietycommission.org/essay/why-we-need-civil-society-to-stand-up-and-lead/" TargetMode="External"/><Relationship Id="rId22" Type="http://schemas.openxmlformats.org/officeDocument/2006/relationships/hyperlink" Target="https://www.youngwomenstrust.org/our-research/valuing-young-womens-unpaid-work/" TargetMode="External"/><Relationship Id="rId27" Type="http://schemas.openxmlformats.org/officeDocument/2006/relationships/hyperlink" Target="https://www.scope.org.uk/campaigns/extra-costs/disability-price-tag/" TargetMode="External"/><Relationship Id="rId30" Type="http://schemas.openxmlformats.org/officeDocument/2006/relationships/hyperlink" Target="https://www.npi.org.uk/publications/income-and-poverty/disability-and-poverty/" TargetMode="External"/><Relationship Id="rId35" Type="http://schemas.openxmlformats.org/officeDocument/2006/relationships/hyperlink" Target="https://committees.parliament.uk/work/1438/children-in-poverty-no-recourse-to-public-funds/publications/" TargetMode="External"/><Relationship Id="rId43" Type="http://schemas.openxmlformats.org/officeDocument/2006/relationships/hyperlink" Target="https://www.jrf.org.uk/report/poverty-rates-among-ethnic-groups-great-britain" TargetMode="External"/><Relationship Id="rId48" Type="http://schemas.openxmlformats.org/officeDocument/2006/relationships/hyperlink" Target="https://www.lawrencereview.co.uk/" TargetMode="External"/><Relationship Id="rId8" Type="http://schemas.openxmlformats.org/officeDocument/2006/relationships/hyperlink" Target="https://fareshare.org.uk/what-we-do/campaigns/runningonempty/" TargetMode="External"/><Relationship Id="rId51" Type="http://schemas.openxmlformats.org/officeDocument/2006/relationships/hyperlink" Target="https://www.jcwi.org.uk/no-recourse-to-public-funds-public-health-risk-destitu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PC Colours">
      <a:dk1>
        <a:srgbClr val="000000"/>
      </a:dk1>
      <a:lt1>
        <a:sysClr val="window" lastClr="FFFFFF"/>
      </a:lt1>
      <a:dk2>
        <a:srgbClr val="F26F21"/>
      </a:dk2>
      <a:lt2>
        <a:srgbClr val="FFCA05"/>
      </a:lt2>
      <a:accent1>
        <a:srgbClr val="662583"/>
      </a:accent1>
      <a:accent2>
        <a:srgbClr val="F89C1C"/>
      </a:accent2>
      <a:accent3>
        <a:srgbClr val="EC0080"/>
      </a:accent3>
      <a:accent4>
        <a:srgbClr val="FFCA05"/>
      </a:accent4>
      <a:accent5>
        <a:srgbClr val="881866"/>
      </a:accent5>
      <a:accent6>
        <a:srgbClr val="F26F21"/>
      </a:accent6>
      <a:hlink>
        <a:srgbClr val="0C0C0C"/>
      </a:hlink>
      <a:folHlink>
        <a:srgbClr val="7F7F7F"/>
      </a:folHlink>
    </a:clrScheme>
    <a:fontScheme name="N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B8FEDFD83C1F4CB520731A26FFCCC1" ma:contentTypeVersion="9" ma:contentTypeDescription="Create a new document." ma:contentTypeScope="" ma:versionID="42bc7dd2dd6e0b1e96ce7cc1f0131567">
  <xsd:schema xmlns:xsd="http://www.w3.org/2001/XMLSchema" xmlns:xs="http://www.w3.org/2001/XMLSchema" xmlns:p="http://schemas.microsoft.com/office/2006/metadata/properties" xmlns:ns2="da161a58-4b2c-4a73-8422-18752367f4aa" xmlns:ns3="784e0ef6-f8da-462f-8ad8-2a96410a863f" targetNamespace="http://schemas.microsoft.com/office/2006/metadata/properties" ma:root="true" ma:fieldsID="6e6625d6be3f706456a00c1d41b81f3d" ns2:_="" ns3:_="">
    <xsd:import namespace="da161a58-4b2c-4a73-8422-18752367f4aa"/>
    <xsd:import namespace="784e0ef6-f8da-462f-8ad8-2a96410a86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61a58-4b2c-4a73-8422-18752367f4a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4e0ef6-f8da-462f-8ad8-2a96410a86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08A4AA-BAF6-4CFA-B029-ECDEC0BE1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61a58-4b2c-4a73-8422-18752367f4aa"/>
    <ds:schemaRef ds:uri="784e0ef6-f8da-462f-8ad8-2a96410a8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5B7DB6-47AC-4113-A327-5BF8E185E796}">
  <ds:schemaRefs>
    <ds:schemaRef ds:uri="http://schemas.microsoft.com/sharepoint/v3/contenttype/forms"/>
  </ds:schemaRefs>
</ds:datastoreItem>
</file>

<file path=customXml/itemProps3.xml><?xml version="1.0" encoding="utf-8"?>
<ds:datastoreItem xmlns:ds="http://schemas.openxmlformats.org/officeDocument/2006/customXml" ds:itemID="{90F34AD8-FC89-4313-86D7-E09AC0381F17}">
  <ds:schemaRefs>
    <ds:schemaRef ds:uri="http://schemas.openxmlformats.org/officeDocument/2006/bibliography"/>
  </ds:schemaRefs>
</ds:datastoreItem>
</file>

<file path=customXml/itemProps4.xml><?xml version="1.0" encoding="utf-8"?>
<ds:datastoreItem xmlns:ds="http://schemas.openxmlformats.org/officeDocument/2006/customXml" ds:itemID="{DE04D2F3-63BC-40C8-8B5D-800D67D228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3509</Words>
  <Characters>20005</Characters>
  <Application>Microsoft Office Word</Application>
  <DocSecurity>0</DocSecurity>
  <Lines>166</Lines>
  <Paragraphs>46</Paragraphs>
  <ScaleCrop>false</ScaleCrop>
  <Company/>
  <LinksUpToDate>false</LinksUpToDate>
  <CharactersWithSpaces>23468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Miller</dc:creator>
  <cp:keywords/>
  <dc:description/>
  <cp:lastModifiedBy>Jane Dodson</cp:lastModifiedBy>
  <cp:revision>2</cp:revision>
  <dcterms:created xsi:type="dcterms:W3CDTF">2022-08-02T14:46:00Z</dcterms:created>
  <dcterms:modified xsi:type="dcterms:W3CDTF">2022-08-02T14:46:00Z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0x010100DAB8FEDFD83C1F4CB520731A26FFCCC1</vt:lpwstr>
  </property>
</Properties>
</file>